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443230</wp:posOffset>
                </wp:positionH>
                <wp:positionV relativeFrom="page">
                  <wp:posOffset>372110</wp:posOffset>
                </wp:positionV>
                <wp:extent cx="6833870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33870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34.9pt;margin-top:29.3pt;width:538.1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490855</wp:posOffset>
                </wp:positionH>
                <wp:positionV relativeFrom="page">
                  <wp:posOffset>372110</wp:posOffset>
                </wp:positionV>
                <wp:extent cx="673925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3925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38.65pt;margin-top:29.3pt;width:530.6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368300</wp:posOffset>
                </wp:positionV>
                <wp:extent cx="684784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29pt" to="573.6pt,29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871220</wp:posOffset>
                </wp:positionV>
                <wp:extent cx="684784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68.6pt" to="573.6pt,68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1746250</wp:posOffset>
                </wp:positionV>
                <wp:extent cx="684784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137.5pt" to="573.6pt,137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2961005</wp:posOffset>
                </wp:positionV>
                <wp:extent cx="684784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233.15pt" to="573.6pt,233.1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4501515</wp:posOffset>
                </wp:positionV>
                <wp:extent cx="684784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354.45pt" to="573.6pt,354.4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365125</wp:posOffset>
                </wp:positionV>
                <wp:extent cx="0" cy="893699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369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65pt,28.75pt" to="34.65pt,732.4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7281545</wp:posOffset>
                </wp:positionH>
                <wp:positionV relativeFrom="page">
                  <wp:posOffset>365125</wp:posOffset>
                </wp:positionV>
                <wp:extent cx="0" cy="893699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369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3.35pt,28.75pt" to="573.35pt,732.4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Opcje na kontrakty terminowe (Long Put)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25400</wp:posOffset>
                </wp:positionV>
                <wp:extent cx="6833235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3235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5.0499pt;margin-top:2pt;width:538.05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40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Opcja Long Put na kontrakty terminowe.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udostępnia niniejszy dokument na podstawie Rozporządzenia UE nr 1286/2014 dla opcji na kontrakty terminowe (a/k/a "opcje terminowe").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na kontrakty terminowe są notowane i są przedmiotem obrotu na amerykańskich giełdach kontraktów terminowych typu futures zarejestrowanych w amerykańskiej komisji ds. obrotu kontraktami na towary ("CFTC") i są emitowane, rozliczane i rozliczane przez OCC, organizację rozliczającą instrumenty pochodne zarejestrowaną w CFTC.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 terminowych, inwestorzy mogą znaleźć na stronie internetowej OCC pod adresem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na kontrakty terminowe, dopóki nie przeczytają i nie zrozumieją niniejszego dokumentu oraz wszelkich dodatkowych ujawnień przekazanych przez ich brokera, których treść może obejmować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Oświadczenie o ryzyku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Krajowego Stowarzyszenia Kontraktów Terminowych ("NFA") 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 odniesieniu do kontraktów terminowych na papiery wartościowe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https://www.nfa.futures.org/investors/investor-resources/files/security-futures-disclosure.pdf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 oraz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00000"/>
        </w:rPr>
        <w:t xml:space="preserve">Ujednolicone kontrakty terminowe i opcje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Stowarzyszenia Branży Kontraktów Terminowych 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00000"/>
        </w:rPr>
        <w:t xml:space="preserve"> zakresie ujawniania ryzyka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https://lc.fia.org/uniform-futures-and-options -ujawnianie ryzyka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000000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Ujawnienia w niniejszym dokumencie powinny być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interpretowane w sposób spójny z tymi ujawnieniami.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Ponadto, ponieważ instrumentem bazowym opcji terminowej jest kontrakt terminowy, inwestorzy powinni zapoznać się z dokumentem zawierającym kluczowe informacje dotyczące kontraktu terminowego, który stanowi podstawę opcji terminowej.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24130</wp:posOffset>
                </wp:positionV>
                <wp:extent cx="6833235" cy="478980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3235" cy="478980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5.0499pt;margin-top:1.9pt;width:538.05pt;height:377.1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0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Opcja terminowa to prawo do nabycia lub zbycia określonego kontraktu terminowego po ustalonej cenie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tj. "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cenie wykonania") poprzez skorzystanie z opcji przed upływem terminu jej ważności.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bazowe kontrakty terminowe typu future oraz na odsetki bazowe w tej przyszłości jest zatem pośrednia, ponieważ wartość opcji jest pochodną wartości bazowej kontraktu typu future.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ważności opcji terminowych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8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 pewnych nadzwyczajnych okolicznościach amerykańska giełda opcji terminowych może jednostronnie wypowiedzieć opcję.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Zdarzenie korporacyjne związane z bazowym kontraktem terminowym typu futures lub odsetkami stanowiącymi jego podstawę może skutkować zmianą warunków opcji zgodnie z regułami OCC, które mogą różnić się od metodologii stosowanej na rynkach europejskich.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3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mu wykonania opcji - do wykonania zgodnie z warunkami zakupu lub sprzedaży bazowego kontraktu terminowego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na kontrakty terminowe rozlicza się zazwyczaj poprzez zawarcie bazowego kontraktu terminowego.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Oznacza to, że posiadacz opcji sprzedaży, po jej wykonaniu, nabyłby pozycję krótką w bazowym kontrakcie terminowym, wycenioną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Niektóre opcje terminowe mogą być natomiast rozliczane w środkach pieniężnych, w którym to przypadku posiadacz otrzyma płatność gotówkową, jeżeli w momencie wykonania wartość bazowej transakcji jest niższa od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terminowej to cena wykonania, czas do wygaśnięcia oraz wartość bazowego kontraktu terminowego i jego podatność na wahania cen (zmienność).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4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17780</wp:posOffset>
                </wp:positionV>
                <wp:extent cx="684720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2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5499pt,1.4pt" to="533.6pt,1.4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560"/>
          </w:cols>
          <w:pgMar w:left="800" w:top="555" w:right="880" w:bottom="659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368300</wp:posOffset>
                </wp:positionV>
                <wp:extent cx="684784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29pt" to="573.6pt,29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9323705</wp:posOffset>
                </wp:positionV>
                <wp:extent cx="6847840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734.15pt" to="573.6pt,734.1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365125</wp:posOffset>
                </wp:positionV>
                <wp:extent cx="0" cy="930910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309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65pt,28.75pt" to="34.65pt,761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7281545</wp:posOffset>
                </wp:positionH>
                <wp:positionV relativeFrom="page">
                  <wp:posOffset>365125</wp:posOffset>
                </wp:positionV>
                <wp:extent cx="0" cy="930910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309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3.35pt,28.75pt" to="573.35pt,761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1060450</wp:posOffset>
            </wp:positionH>
            <wp:positionV relativeFrom="paragraph">
              <wp:posOffset>15875</wp:posOffset>
            </wp:positionV>
            <wp:extent cx="4944110" cy="18091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110" cy="180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1060450</wp:posOffset>
            </wp:positionH>
            <wp:positionV relativeFrom="paragraph">
              <wp:posOffset>15875</wp:posOffset>
            </wp:positionV>
            <wp:extent cx="4944110" cy="180911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110" cy="180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0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jego warunków,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20" w:right="120" w:hanging="218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 może stracić całą składkę, jeżeli cena wykonania opcji kupna jest wyższa od wartości rynkowej instrumentu bazowego lub cena wykonania opcji jest niższa od tej wartości.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obu przypadkach mówi się, że opcja wygasa "z pieniędzy".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Posiadacz, który nie sprzeda ani nie skorzysta z opcji przed jej wygaśnięciem, może stracić całą swoją inwestycję.</w:t>
      </w:r>
    </w:p>
    <w:p>
      <w:pPr>
        <w:spacing w:after="0" w:line="7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jc w:val="both"/>
        <w:ind w:left="220" w:right="80" w:hanging="218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 terminowych, na której jedynym przedmiotem obrotu są opcje terminowe, stanie się niedostępna, inwestorzy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zaistnieć sytuacje, w których ceny opcji terminowych nie będą utrzymywać zwyczajowych lub oczekiwanych relacji z wartościami udziałów bazowych lub powiązanych.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440" w:hanging="218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bazowy kontrakt terminowy na zrealizowaną opcję jest niedostępny, zasady UOKiK mogą wymagać alternatywnej formy rozliczenia, takiej jak rozliczenie gotówkowe.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620" w:hanging="218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Inwestorzy powinni uwzględnić profil ryzyka i zysku kontraktu terminowego będącego podstawą opcji terminowej, zgodnie z opisem w odpowiednim dokumencie zawierającym kluczowe informacje dotyczącym bazowego kontraktu terminowego.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8"/>
        <w:spacing w:after="0" w:line="23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80" w:hanging="218"/>
        <w:spacing w:after="0" w:line="21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handlem lub korzystaniem z opcji będą rozliczane w dolarach amerykańskich, a w konsekwencji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6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19050</wp:posOffset>
            </wp:positionH>
            <wp:positionV relativeFrom="paragraph">
              <wp:posOffset>14605</wp:posOffset>
            </wp:positionV>
            <wp:extent cx="6583680" cy="162179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19050</wp:posOffset>
            </wp:positionH>
            <wp:positionV relativeFrom="paragraph">
              <wp:posOffset>14605</wp:posOffset>
            </wp:positionV>
            <wp:extent cx="6583680" cy="162179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540"/>
          </w:cols>
          <w:pgMar w:left="800" w:top="562" w:right="900" w:bottom="73" w:gutter="0" w:footer="0" w:header="0"/>
        </w:sectPr>
      </w:pPr>
    </w:p>
    <w:p>
      <w:pPr>
        <w:spacing w:after="0" w:line="177" w:lineRule="exact"/>
        <w:rPr>
          <w:sz w:val="20"/>
          <w:szCs w:val="20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20" w:type="dxa"/>
            <w:vAlign w:val="bottom"/>
            <w:gridSpan w:val="4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 z posiadania sprzedaży (Premium $5; Cena ćwiczenia $45)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7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17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ind w:right="19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40 $</w:t>
            </w: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1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60 $</w:t>
            </w:r>
          </w:p>
        </w:tc>
        <w:tc>
          <w:tcPr>
            <w:tcW w:w="1040" w:type="dxa"/>
            <w:vAlign w:val="bottom"/>
          </w:tcPr>
          <w:p>
            <w:pPr xmlns:w="http://schemas.openxmlformats.org/wordprocessingml/2006/main">
              <w:jc w:val="right"/>
              <w:ind w:right="4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80 $</w:t>
            </w:r>
          </w:p>
        </w:tc>
        <w:tc>
          <w:tcPr>
            <w:tcW w:w="580" w:type="dxa"/>
            <w:vAlign w:val="bottom"/>
          </w:tcPr>
          <w:p>
            <w:pPr xmlns:w="http://schemas.openxmlformats.org/wordprocessingml/2006/main"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  <w:w w:val="93"/>
              </w:rPr>
              <w:t xml:space="preserve">100 $</w:t>
            </w:r>
          </w:p>
        </w:tc>
        <w:tc>
          <w:tcPr>
            <w:tcW w:w="6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120 $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30 $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1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3"/>
        </w:trPr>
        <w:tc>
          <w:tcPr>
            <w:tcW w:w="16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</w:t>
            </w: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10 $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1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- 10 USD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  <w:vMerge w:val="restart"/>
          </w:tcPr>
          <w:p>
            <w:pPr xmlns:w="http://schemas.openxmlformats.org/wordprocessingml/2006/main">
              <w:jc w:val="center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Cena rynkowa instrumentu bazowego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5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Stressed Market Underlying Move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 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$15</w:t>
      </w:r>
    </w:p>
    <w:p>
      <w:pPr>
        <w:spacing w:after="0" w:line="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hanging="150"/>
        <w:spacing w:after="0"/>
        <w:tabs>
          <w:tab w:leader="none" w:pos="30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$25</w:t>
      </w:r>
    </w:p>
    <w:p>
      <w:pPr xmlns:w="http://schemas.openxmlformats.org/wordprocessingml/2006/main">
        <w:ind w:left="160"/>
        <w:spacing w:after="0" w:line="197" w:lineRule="auto"/>
        <w:tabs>
          <w:tab w:leader="none" w:pos="172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+ 25 $</w:t>
      </w:r>
    </w:p>
    <w:p>
      <w:pPr>
        <w:spacing w:after="0" w:line="15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Umiarkowany Ruch Rynkowy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Green Plot Point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 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$35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hanging="150"/>
        <w:spacing w:after="0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$5</w:t>
      </w:r>
    </w:p>
    <w:p>
      <w:pPr xmlns:w="http://schemas.openxmlformats.org/wordprocessingml/2006/main">
        <w:ind w:left="160"/>
        <w:spacing w:after="0" w:line="211" w:lineRule="auto"/>
        <w:tabs>
          <w:tab w:leader="none" w:pos="176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+ 5$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0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minus premia.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6180" w:space="300"/>
            <w:col w:w="4060"/>
          </w:cols>
          <w:pgMar w:left="800" w:top="562" w:right="900" w:bottom="73" w:gutter="0" w:footer="0" w:header="0"/>
          <w:type w:val="continuous"/>
        </w:sectPr>
      </w:pPr>
    </w:p>
    <w:p>
      <w:pPr>
        <w:spacing w:after="0" w:line="9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otrzymasz, będzie się różnić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 lub dystrybutorowi i nie uwzględniają Twojej osobistej sytuacji podatkowej, która może mieć również wpływ na to, ile otrzymasz.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stosowane przez OCC zostały zaprojektowane w taki sposób, aby wyniki na wszystkich opcjach terminowych były osiągane pomiędzy OCC a grupą firm maklerskich zwanych członkami rozliczającymi, którzy posiadają pozycje wszystkich opcji terminowych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17145</wp:posOffset>
                </wp:positionV>
                <wp:extent cx="6847205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2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5499pt,1.35pt" to="533.6pt,1.3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540"/>
          </w:cols>
          <w:pgMar w:left="800" w:top="562" w:right="900" w:bottom="73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6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368300</wp:posOffset>
                </wp:positionV>
                <wp:extent cx="684784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29pt" to="573.6pt,29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1738630</wp:posOffset>
                </wp:positionV>
                <wp:extent cx="684784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136.9pt" to="573.6pt,136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5838190</wp:posOffset>
                </wp:positionV>
                <wp:extent cx="684784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459.7pt" to="573.6pt,459.7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7378700</wp:posOffset>
                </wp:positionV>
                <wp:extent cx="684784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581pt" to="573.6pt,581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365125</wp:posOffset>
                </wp:positionV>
                <wp:extent cx="0" cy="8961755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61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65pt,28.75pt" to="34.65pt,734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7281545</wp:posOffset>
                </wp:positionH>
                <wp:positionV relativeFrom="page">
                  <wp:posOffset>365125</wp:posOffset>
                </wp:positionV>
                <wp:extent cx="0" cy="8961755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61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3.35pt,28.75pt" to="573.35pt,734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posiadaczy i autorów zapisów na rachunkach prowadzonych przez biegłych rewidentów.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każdej kwoty należnej.</w:t>
      </w:r>
    </w:p>
    <w:p>
      <w:pPr>
        <w:spacing w:after="0" w:line="18" w:lineRule="exact"/>
        <w:rPr>
          <w:sz w:val="20"/>
          <w:szCs w:val="20"/>
          <w:color w:val="auto"/>
        </w:rPr>
      </w:pPr>
    </w:p>
    <w:tbl>
      <w:tblPr>
        <w:tblLayout w:type="fixed"/>
        <w:tblInd w:w="2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2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Jeśli tak, to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2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udzieli Ci informacji na ten temat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5340" w:type="dxa"/>
            <w:vAlign w:val="bottom"/>
          </w:tcPr>
          <w:p>
            <w:pPr xmlns:w="http://schemas.openxmlformats.org/wordprocessingml/2006/main"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kosztów i ich wpływu na Twoją inwestycję.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Kruszywo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opcji terminowych zależą od wielu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I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8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składka opcyjna to koszt, który posiadacz wpłaca na rzecz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pisarz.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 mające istotny wpływ na składkę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obejmują, ale nie są ograniczone do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wartość, czas do wygaśnięcia i cena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Inwestowanie wiąże się z dodatkowymi kosztami, które obejmują podatek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Rozważania, koszty transakcji i marża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wymogów, które mogą mieć istotny wpływ na zysk lub stratę.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Na koszty transakcyjne składają się głównie prowizje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gridSpan w:val="2"/>
            <w:vMerge w:val="restart"/>
            <w:shd w:val="clear" w:color="auto" w:fill="DADADA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(które są nakładane przy otwieraniu, zamykaniu, wykonywaniu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DADADA"/>
            </w:tcBorders>
            <w:gridSpan w:val="2"/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transakcji cesji), ale może również zawierać depozyt zabezpieczający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oraz koszty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Depozyt zabezpieczający oznacza aktywa wymagane do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być zdeponowane przez emitenta w jego firmie maklerskiej jako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zabezpieczenie zobowiązania, stosownie do przypadku, do kupna lub sprzedaży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odsetki bazowe lub płatność rozliczenia gotówkowego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kwoty.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przypadku wykonania i przypisania opcji, podmiot zapisujący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7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mogą ponieść dodatkowe koszty związane z instrumentem bazowym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7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3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53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kontraktów terminowych.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Odrębne od kosztów inwestorskich, OCC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1"/>
        </w:trPr>
        <w:tc>
          <w:tcPr>
            <w:tcW w:w="9040" w:type="dxa"/>
            <w:vAlign w:val="bottom"/>
            <w:gridSpan w:val="10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pobiera związane z tym opłaty za rozliczenie tego produktu na rzecz członków rozliczających, ale nie bezpośrednio na rzecz użytkownika: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6880" w:type="dxa"/>
            <w:vAlign w:val="bottom"/>
            <w:gridSpan w:val="4"/>
          </w:tcPr>
          <w:p>
            <w:pPr xmlns:w="http://schemas.openxmlformats.org/wordprocessingml/2006/main">
              <w:spacing w:after="0" w:line="25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563C1"/>
              </w:rPr>
              <w:t xml:space="preserve">https://www.theocc.com/company-information/schedule-of-fees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00000"/>
              </w:rPr>
              <w:t xml:space="preserve">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340" w:type="dxa"/>
            <w:vAlign w:val="bottom"/>
            <w:tcBorders>
              <w:right w:val="single" w:sz="8" w:color="0563C1"/>
            </w:tcBorders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terminowej jest dla posiadacza kluczową decyzją inwestycyjną, podobnie jak decyzja posiadaczy opcji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kontrakt (kontrakty) opcyjne typu futures lub czy zamknąć istniejącą pozycję.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opcji terminowych,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z Urzędem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centrum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),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), NFA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https://www.nfa.futures.org/basicnet/complaint.aspx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lub CFTC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http://www.cftc.gov/ConsumerProtection/FileaTiporComplaint/index.htm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.</w:t>
      </w:r>
    </w:p>
    <w:p>
      <w:pPr>
        <w:spacing w:after="0" w:line="4" w:lineRule="exact"/>
        <w:rPr>
          <w:sz w:val="20"/>
          <w:szCs w:val="20"/>
          <w:color w:val="auto"/>
        </w:rPr>
      </w:pPr>
    </w:p>
    <w:tbl>
      <w:tblPr>
        <w:tblLayout w:type="fixed"/>
        <w:tblInd w:w="3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Skarga FINRA Investor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Amerykańskie Papiery Wartościowe i Giełdy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Krajowe Stowarzyszenie Kontraktów Terminowych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  <w:w w:val="98"/>
              </w:rPr>
              <w:t xml:space="preserve">Kontrakty terminowe na towary ze Stanów Zjednoczonych</w:t>
            </w:r>
          </w:p>
        </w:tc>
      </w:tr>
      <w:tr>
        <w:trPr>
          <w:trHeight w:val="242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Wyśrodkowanie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Komisja/Urząd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300 S. Riverside Plaza, #1800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Komisja Handlowa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9509 Key West Avenue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Edukacja inwestorska i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Chicago, IL 60606-6615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Centrum Trzech Lafayette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Rockville, MD 20850-3329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Rzecznictwo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312-781-1300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1155 21st Street, NW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(240) 386-HELP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100 F Street, Gdzie Indziej Niewymienione.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312-781-1467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Waszyngton, DC 20581</w:t>
            </w:r>
          </w:p>
        </w:tc>
      </w:tr>
      <w:tr>
        <w:trPr>
          <w:trHeight w:val="242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(4357)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Waszyngton, DC 20549-0213</w:t>
            </w: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866-366-2382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(866) 397-3290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(202) 772-9295</w:t>
            </w: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202-418-5521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14605</wp:posOffset>
                </wp:positionV>
                <wp:extent cx="684784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4pt,1.15pt" to="544.6pt,1.15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780"/>
          </w:cols>
          <w:pgMar w:left="580" w:top="630" w:right="880" w:bottom="341" w:gutter="0" w:footer="0" w:header="0"/>
        </w:sectPr>
      </w:pPr>
    </w:p>
    <w:p>
      <w:pPr>
        <w:spacing w:after="0" w:line="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780"/>
      </w:cols>
      <w:pgMar w:left="580" w:top="630" w:right="880" w:bottom="34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117EE86B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DF7ECB1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1348B011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2024-05-21T09:25:39Z</dcterms:created>
  <dcterms:modified xsi:type="dcterms:W3CDTF">2024-05-21T09:25:39Z</dcterms:modified>
</cp:coreProperties>
</file>