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ind w:left="37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396240</wp:posOffset>
            </wp:positionH>
            <wp:positionV relativeFrom="page">
              <wp:posOffset>360045</wp:posOffset>
            </wp:positionV>
            <wp:extent cx="1419225" cy="4762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KLUCZOWE INFORMACJE DLA INWESTORÓW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720" w:right="100"/>
        <w:spacing w:after="0" w:line="3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Niniejszy dokument zawiera kluczowe informacje dla inwestorów na temat tego Funduszu.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Informacje te są wymagane przez prawo, aby pomóc Ci zrozumieć charakter i ryzyko inwestowania w ten Fundusz.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Zachęcamy do zapoznania się z nią, aby móc podjąć świadomą decyzję o ewentualnej inwestycji.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-24765</wp:posOffset>
            </wp:positionV>
            <wp:extent cx="6767830" cy="639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2" w:lineRule="exact"/>
        <w:rPr>
          <w:sz w:val="24"/>
          <w:szCs w:val="24"/>
          <w:color w:val="auto"/>
        </w:rPr>
      </w:pPr>
    </w:p>
    <w:tbl>
      <w:tblPr>
        <w:tblLayout w:type="fixed"/>
        <w:tblInd w:w="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45"/>
        </w:trPr>
        <w:tc>
          <w:tcPr>
            <w:tcW w:w="494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color w:val="FFFFFF"/>
                <w:w w:val="98"/>
              </w:rPr>
              <w:t xml:space="preserve">iShares MSCI World Islamic UCITS ETF</w:t>
            </w:r>
          </w:p>
        </w:tc>
        <w:tc>
          <w:tcPr>
            <w:tcW w:w="2480" w:type="dxa"/>
            <w:vAlign w:val="bottom"/>
          </w:tcPr>
          <w:p>
            <w:pPr xmlns:w="http://schemas.openxmlformats.org/wordprocessingml/2006/main"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2"/>
                <w:szCs w:val="22"/>
                <w:color w:val="auto"/>
                <w:w w:val="89"/>
              </w:rPr>
              <w:t xml:space="preserve">Klasa akcji USD (Dist)</w:t>
            </w:r>
          </w:p>
        </w:tc>
        <w:tc>
          <w:tcPr>
            <w:tcW w:w="2120" w:type="dxa"/>
            <w:vAlign w:val="bottom"/>
            <w:vMerge w:val="restart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  <w:w w:val="86"/>
              </w:rPr>
              <w:t xml:space="preserve">Fundusz typu ETF (ang. Exchange Traded Fund)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4940" w:type="dxa"/>
            <w:vAlign w:val="bottom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FFFFFF"/>
              </w:rPr>
              <w:t xml:space="preserve">Subfundusz akcji iShares II plc</w:t>
            </w:r>
          </w:p>
        </w:tc>
        <w:tc>
          <w:tcPr>
            <w:tcW w:w="2480" w:type="dxa"/>
            <w:vAlign w:val="bottom"/>
          </w:tcPr>
          <w:p>
            <w:pPr xmlns:w="http://schemas.openxmlformats.org/wordprocessingml/2006/main"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ISIN: IE00B27YCN58</w:t>
            </w:r>
          </w:p>
        </w:tc>
        <w:tc>
          <w:tcPr>
            <w:tcW w:w="212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49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 xmlns:w="http://schemas.openxmlformats.org/wordprocessingml/2006/main">
        <w:ind w:left="5400"/>
        <w:spacing w:after="0" w:line="2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Menedżer: BlackRock Asset Management Ireland Limited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Cele i polityka inwestycyjna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6767830" cy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38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Klasa akcji to klasa akcji Funduszu, której celem jest uzyskanie zwrotu z inwestycji poprzez połączenie wzrostu kapitału i dochodu z aktywów Funduszu, co odzwierciedla zwrot z MSCI World Islamic Index, indeksu referencyjnego Funduszu (Index).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20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Za pośrednictwem Funduszu klasa akcji jest zarządzana pasywnie i ma na celu inwestowanie w miarę możliwości i możliwości, w sposób zgodny z zasadami Shari’ah, w udziałowe papiery wartościowe (np. akcje), które wchodzą w skład Indeksu.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6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Zasady szariatu są regułami, przykazaniami i parametrami prawa islamskiego interpretowanego przez uczonych islamskich, w tym w tym przypadku przez Panel Szariatu BlackRock (panel uczonych islamskich powołany do udzielania wskazówek dotyczących przestrzegania przez Fundusz zasad szariatu).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right="2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Indeks mierzy wyniki dużych i średnich kapitalizacji akcji w krajach rozwiniętych, które kwalifikują się do inwestycji dla inwestorów islamskich.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Indeks stosuje rygorystyczne ekrany w celu wyłączenia niektórych papierów wartościowych opartych na zasadach szariatu w porozumieniu z zarządem szariatu wyznaczonym przez dostawcę indeksu.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Indeks jest ważony kapitalizacją rynkową.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Kapitalizacja rynkowa to cena akcji spółki pomnożona przez liczbę wyemitowanych akcji.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38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zamierza powielać Indeks poprzez posiadanie wszystkich udziałowych papierów wartościowych, które wchodzą w skład Indeksu, w podobnej proporcji do niego.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Mogą one również obejmować wykorzystanie finansowych instrumentów pochodnych (BIZ) (tj. inwestycji, których ceny opierają się na jednym lub kilku aktywach bazowych).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10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 zakresie zgodnym z zasadami Shari’ah Fundusz może inwestować w amerykańskie kwity depozytowe (ADR), globalne kwity depozytowe (GDR) oraz inne fundusze w celu uzyskania ekspozycji na odpowiednie udziałowe papiery wartościowe tworzące Indeks.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ADR i GDR to inwestycje wyemitowane przez instytucje finansowe, które dają ekspozycję na bazowe udziałowe papiery wartościowe.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Fundusz ten jest zdecydowany przestrzegać zasad szariatu i jest skierowany do inwestorów islamskich.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Subskrypcja jest jednak otwarta dla każdego innego inwestora.</w:t>
      </w:r>
    </w:p>
    <w:p>
      <w:pPr>
        <w:spacing w:after="0" w:line="6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Zalecenie: Fundusz ten jest odpowiedni dla inwestycji średnio- i długoterminowych, chociaż może być również odpowiedni dla krótkoterminowego zaangażowania w indeks.</w:t>
      </w:r>
    </w:p>
    <w:p>
      <w:pPr>
        <w:spacing w:after="0" w:line="5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18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Twoje akcje będą rozdzielać akcje (tzn. przychód będzie wypłacany w okresach półrocznych na akcjach).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Dywidendy mogą obejmować część "nieczystego dochodu" (tj. dochodu zakazanego na mocy zasad szariatu), który zostanie zgłoszony inwestorom.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Inwestorzy islamscy będą odpowiedzialni za oczyszczenie wszelkich takich nieczystych dochodów zgodnie z zasadami szariatu (np. poprzez darowiznę na cele charytatywne).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Twoje akcje będą denominowane w dolarach amerykańskich, walucie bazowej Funduszu.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6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Akcje są notowane na jednej lub kilku giełdach i mogą być przedmiotem obrotu w walutach innych niż ich waluta bazowa.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Różnica kursów walut może mieć wpływ na wydajność Twoich akcji.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 normalnych okolicznościach wyłącznie uprawnieni uczestnicy (np. wybrane instytucje finansowe) mogą dokonywać transakcji na akcjach (lub udziałach w akcjach) bezpośrednio z Funduszem.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Inni inwestorzy mogą dokonywać codziennych transakcji na akcjach (lub udziałach w akcjach) poprzez pośrednika na giełdzie (giełdach), na której akcje są przedmiotem obrotu.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Orientacyjna wartość aktywów netto publikowana jest na odpowiednich stronach internetowych giełd.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Więcej informacji na temat Funduszu, klasy akcji, ryzyka i opłat można znaleźć w prospekcie emisyjnym Funduszu dostępnym na stronach dotyczących produktów pod adresem www.blackrock.com</w:t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Profil ryzyka i zysku</w:t>
      </w:r>
    </w:p>
    <w:p>
      <w:pPr>
        <w:sectPr>
          <w:pgSz w:w="11900" w:h="16838" w:orient="portrait"/>
          <w:cols w:equalWidth="0" w:num="1">
            <w:col w:w="10580"/>
          </w:cols>
          <w:pgMar w:left="640" w:top="573" w:right="686" w:bottom="0" w:gutter="0" w:footer="0" w:header="0"/>
        </w:sectPr>
      </w:pP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8"/>
        </w:trPr>
        <w:tc>
          <w:tcPr>
            <w:tcW w:w="2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Niższe ryzyko</w:t>
            </w:r>
          </w:p>
        </w:tc>
        <w:tc>
          <w:tcPr>
            <w:tcW w:w="2620" w:type="dxa"/>
            <w:vAlign w:val="bottom"/>
            <w:shd w:val="clear" w:color="auto" w:fill="000000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Wyższe ryzyko</w:t>
            </w:r>
          </w:p>
        </w:tc>
      </w:tr>
      <w:tr>
        <w:trPr>
          <w:trHeight w:val="207"/>
        </w:trPr>
        <w:tc>
          <w:tcPr>
            <w:tcW w:w="2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FFFFFF"/>
              </w:rPr>
              <w:t xml:space="preserve">Zazwyczaj niższe nagrody</w:t>
            </w:r>
          </w:p>
        </w:tc>
        <w:tc>
          <w:tcPr>
            <w:tcW w:w="2620" w:type="dxa"/>
            <w:vAlign w:val="bottom"/>
            <w:shd w:val="clear" w:color="auto" w:fill="000000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FFFFFF"/>
              </w:rPr>
              <w:t xml:space="preserve">Zwykle wyższe nagrody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12700</wp:posOffset>
            </wp:positionV>
            <wp:extent cx="3258185" cy="33464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185" cy="334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393065</wp:posOffset>
            </wp:positionV>
            <wp:extent cx="3329940" cy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-323215</wp:posOffset>
            </wp:positionV>
            <wp:extent cx="6767830" cy="952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8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Wskaźnik ten opiera się na danych historycznych i może nie być wiarygodnym wskaźnikiem przyszłego profilu ryzyka tej klasy akcji.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-260985</wp:posOffset>
            </wp:positionV>
            <wp:extent cx="45720" cy="7747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Podana kategoria ryzyka nie jest gwarantowana i może się zmieniać w czasie.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-84455</wp:posOffset>
            </wp:positionV>
            <wp:extent cx="45720" cy="7747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Najniższa kategoria nie oznacza braku ryzyka.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-83820</wp:posOffset>
            </wp:positionV>
            <wp:extent cx="45720" cy="7747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60"/>
        <w:spacing w:after="0" w:line="3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Klasa akcji jest oceniana na sześć ze względu na charakter inwestycji, które obejmują ryzyka wymienione poniżej.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Czynniki te mogą mieć wpływ na wartość klasy akcji lub narażać klasę akcji na straty.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-427355</wp:posOffset>
            </wp:positionV>
            <wp:extent cx="45720" cy="7747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hanging="159"/>
        <w:spacing w:after="0" w:line="208" w:lineRule="auto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37"/>
          <w:szCs w:val="37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Na wartość akcji i papierów wartościowych o charakterze udziałowym mogą mieć wpływ codzienne zmiany na rynku akcji.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Wśród innych wpływowych czynników znajdują się wiadomości polityczne, gospodarcze, wyniki przedsiębiorstw i ważne wydarzenia korporacyjne.</w:t>
      </w:r>
    </w:p>
    <w:p>
      <w:pPr xmlns:w="http://schemas.openxmlformats.org/wordprocessingml/2006/main">
        <w:ind w:left="160" w:hanging="159"/>
        <w:spacing w:after="0" w:line="186" w:lineRule="auto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color w:val="auto"/>
        </w:rPr>
        <w:t xml:space="preserve">Fundusze Shari'ah zazwyczaj nie płacą odsetek i mają zakaz inwestowania</w:t>
      </w:r>
    </w:p>
    <w:p>
      <w:pPr>
        <w:spacing w:after="0" w:line="5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right="340"/>
        <w:spacing w:after="0" w:line="29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w przedsiębiorstwach, które są uznawane za nielegalne zgodnie z zasadami islamu.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 rezultacie mogą one działać inaczej niż inne fundusze, które nie przestrzegają zasad islamskich.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Poszczególne rodzaje ryzyka nieodpowiednio ujęte we wskaźniku ryzyka obejmują: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-102235</wp:posOffset>
            </wp:positionH>
            <wp:positionV relativeFrom="paragraph">
              <wp:posOffset>-84455</wp:posOffset>
            </wp:positionV>
            <wp:extent cx="45720" cy="7747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right="100" w:hanging="159"/>
        <w:spacing w:after="0" w:line="207" w:lineRule="auto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37"/>
          <w:szCs w:val="37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Ryzyko kontrahenta: Niewypłacalność instytucji świadczących usługi, takie jak przechowywanie aktywów lub działających jako kontrahent instrumentów pochodnych lub innych instrumentów, może narazić klasę akcji na straty finansowe.</w:t>
      </w:r>
    </w:p>
    <w:p>
      <w:pPr>
        <w:spacing w:after="0" w:line="47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5180" w:space="380"/>
            <w:col w:w="5020"/>
          </w:cols>
          <w:pgMar w:left="640" w:top="573" w:right="686" w:bottom="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Wskaźnik referencyjny stanowi własność intelektualną dostawcy indeksu.</w:t>
      </w: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 Klasa udziału nie jest sponsorowana ani wspierana przez dostawcę indeksu.</w:t>
      </w: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 Pełne wyłączenie odpowiedzialności znajduje się w prospekcie emisyjnym Funduszu.</w:t>
      </w:r>
    </w:p>
    <w:p>
      <w:pPr>
        <w:sectPr>
          <w:pgSz w:w="11900" w:h="16838" w:orient="portrait"/>
          <w:cols w:equalWidth="0" w:num="1">
            <w:col w:w="10580"/>
          </w:cols>
          <w:pgMar w:left="640" w:top="573" w:right="686" w:bottom="0" w:gutter="0" w:footer="0" w:header="0"/>
          <w:type w:val="continuous"/>
        </w:sectPr>
      </w:pPr>
    </w:p>
    <w:bookmarkStart w:id="1" w:name="page2"/>
    <w:bookmarkEnd w:id="1"/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color w:val="auto"/>
        </w:rPr>
        <w:t xml:space="preserve">Opłaty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3561715</wp:posOffset>
            </wp:positionH>
            <wp:positionV relativeFrom="paragraph">
              <wp:posOffset>97155</wp:posOffset>
            </wp:positionV>
            <wp:extent cx="3208020" cy="17272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17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52070</wp:posOffset>
            </wp:positionV>
            <wp:extent cx="6767830" cy="952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660"/>
          </w:cols>
          <w:pgMar w:left="620" w:top="609" w:right="626" w:bottom="0" w:gutter="0" w:footer="0" w:header="0"/>
        </w:sectPr>
      </w:pPr>
    </w:p>
    <w:p>
      <w:pPr>
        <w:spacing w:after="0" w:line="16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60"/>
        <w:spacing w:after="0" w:line="31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Opłaty te są przeznaczone na pokrycie kosztów prowadzenia Klasy Akcji, w tym kosztów jej marketingu i dystrybucji.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Opłaty te zmniejszają potencjalny wzrost Państwa inwestycji.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240"/>
        <w:spacing w:after="0" w:line="31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* Nie dotyczy inwestorów rynku wtórnego.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Inwestorzy giełdowi będą ponosić opłaty pobierane przez swoich maklerów giełdowych.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Takie opłaty są publicznie dostępne na giełdach, na których akcje są notowane i znajdują się w obrocie, lub można je uzyskać od maklerów giełdowych.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140"/>
        <w:spacing w:after="0" w:line="3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* Upoważnieni uczestnicy mający bezpośredni kontakt z Funduszem będą ponosić związane z tym koszty transakcyjne, w tym - w przypadku umorzeń - wszelkie mające zastosowanie podatki od zysków kapitałowych (CGT) i inne podatki od bazowych papierów wartościowych.</w:t>
      </w:r>
    </w:p>
    <w:p>
      <w:pPr>
        <w:spacing w:after="0" w:line="3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 w:line="33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Kwota opłat bieżących opiera się na stałej rocznej opłacie pobieranej od klasy akcji zgodnie z prospektem emisyjnym Funduszu.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Kwota ta nie obejmuje kosztów związanych z handlem portfelem, z wyjątkiem kosztów poniesionych na rzecz depozytariusza oraz wszelkich opłat za wejście/wyjście uiszczonych na rzecz bazowego systemu zbiorowego inwestowania (jeżeli takie istnieją).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1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FFFFFF"/>
        </w:rPr>
        <w:t xml:space="preserve">Jednorazowe opłaty pobierane przed lub po dokonaniu inwestycji</w:t>
      </w:r>
    </w:p>
    <w:p>
      <w:pPr>
        <w:spacing w:after="0" w:line="5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Opłata Wejściowa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 xml:space="preserve">Brak*</w:t>
            </w:r>
          </w:p>
        </w:tc>
      </w:tr>
      <w:tr>
        <w:trPr>
          <w:trHeight w:val="41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243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Opłata za wyjście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 xml:space="preserve">Brak*</w:t>
            </w:r>
          </w:p>
        </w:tc>
      </w:tr>
      <w:tr>
        <w:trPr>
          <w:trHeight w:val="41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-201930</wp:posOffset>
            </wp:positionV>
            <wp:extent cx="2245995" cy="952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-394335</wp:posOffset>
            </wp:positionV>
            <wp:extent cx="3199130" cy="952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 w:right="240"/>
        <w:spacing w:after="0" w:line="34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Jest to maksymalna kwota, która może zostać pobrana z Twoich pieniędzy przed dokonaniem inwestycji lub przed wypłaceniem wpływów z Twoich inwestycji.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-17145</wp:posOffset>
            </wp:positionV>
            <wp:extent cx="3208020" cy="18351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18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FFFFFF"/>
        </w:rPr>
        <w:t xml:space="preserve">Opłaty pobierane z klasy akcji w ciągu każdego roku</w:t>
      </w:r>
    </w:p>
    <w:p>
      <w:pPr>
        <w:spacing w:after="0" w:line="71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34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Opłaty Bieżące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0.30%</w:t>
            </w:r>
          </w:p>
        </w:tc>
      </w:tr>
      <w:tr>
        <w:trPr>
          <w:trHeight w:val="24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64"/>
        </w:trPr>
        <w:tc>
          <w:tcPr>
            <w:tcW w:w="4320" w:type="dxa"/>
            <w:vAlign w:val="bottom"/>
            <w:tcBorders>
              <w:bottom w:val="single" w:sz="8" w:color="auto"/>
            </w:tcBorders>
            <w:gridSpan w:val="2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  <w:w w:val="97"/>
              </w:rPr>
              <w:t xml:space="preserve">Opłaty pobrane z klasy akcji pod pewnymi warunkami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2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Opłata za wydajność</w:t>
            </w: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Brak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-358775</wp:posOffset>
            </wp:positionV>
            <wp:extent cx="3199130" cy="952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-165735</wp:posOffset>
            </wp:positionV>
            <wp:extent cx="3199130" cy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-522605</wp:posOffset>
            </wp:positionV>
            <wp:extent cx="3199130" cy="952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9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5340" w:space="260"/>
            <w:col w:w="5060"/>
          </w:cols>
          <w:pgMar w:left="620" w:top="609" w:right="626" w:bottom="0" w:gutter="0" w:footer="0" w:header="0"/>
          <w:type w:val="continuous"/>
        </w:sect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color w:val="auto"/>
        </w:rPr>
        <w:t xml:space="preserve">Dotychczasowa wydajność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52070</wp:posOffset>
            </wp:positionV>
            <wp:extent cx="6767830" cy="952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660"/>
          </w:cols>
          <w:pgMar w:left="620" w:top="609" w:right="626" w:bottom="0" w:gutter="0" w:footer="0" w:header="0"/>
          <w:type w:val="continuous"/>
        </w:sectPr>
      </w:pPr>
    </w:p>
    <w:p>
      <w:pPr>
        <w:spacing w:after="0" w:line="11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74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Dotychczasowa wydajność nie jest wskazówką dla przyszłej wydajności.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3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Wykres pokazuje roczną wydajność klasy akcji w USD dla każdego pełnego roku kalendarzowego w okresie wyświetlanym na wykresie.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Jest ona wyrażona jako procentowa zmiana wartości aktywów netto klasy akcji na koniec każdego roku.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Fundusz został uruchomiony w 2007 r.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Program Share Class został uruchomiony w 2007 roku.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Wyniki są wykazywane po odjęciu bieżących opłat.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Wszelkie opłaty za wjazd/wyjazd są wyłączone z obliczeń.</w:t>
      </w:r>
    </w:p>
    <w:p>
      <w:pPr>
        <w:spacing w:after="0" w:line="6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† Benchmark: MSCI World Islamic Index (USD)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9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Historyczny performans do 31 grudnia 2023 roku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487680</wp:posOffset>
            </wp:positionH>
            <wp:positionV relativeFrom="paragraph">
              <wp:posOffset>20955</wp:posOffset>
            </wp:positionV>
            <wp:extent cx="3977640" cy="155448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8"/>
        </w:trPr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2014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2015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2016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2017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2018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2019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2020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2021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2022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</w:tcBorders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140" w:type="dxa"/>
            <w:vAlign w:val="bottom"/>
            <w:shd w:val="clear" w:color="auto" w:fill="FF4713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Fundusz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2,9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- 4,9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7,4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19,1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- 9,4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22,0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8,0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21,5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- 11,8</w:t>
            </w:r>
          </w:p>
        </w:tc>
        <w:tc>
          <w:tcPr>
            <w:tcW w:w="58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22,9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140" w:type="dxa"/>
            <w:vAlign w:val="bottom"/>
            <w:shd w:val="clear" w:color="auto" w:fill="FFCE0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† wskaźnika referencyjnego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3,2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- 4,7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7,7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19,5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- 9,1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22,5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8,3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22,0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- 11,7</w:t>
            </w:r>
          </w:p>
        </w:tc>
        <w:tc>
          <w:tcPr>
            <w:tcW w:w="58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22,8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320" w:space="280"/>
            <w:col w:w="7060"/>
          </w:cols>
          <w:pgMar w:left="620" w:top="609" w:right="626" w:bottom="0" w:gutter="0" w:footer="0" w:header="0"/>
          <w:type w:val="continuous"/>
        </w:sectPr>
      </w:pPr>
    </w:p>
    <w:p>
      <w:pPr xmlns:w="http://schemas.openxmlformats.org/wordprocessingml/2006/main">
        <w:ind w:lef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Informacje praktyczne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22860</wp:posOffset>
            </wp:positionV>
            <wp:extent cx="6767830" cy="952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Depozytariuszem funduszu jest State Street Custodial Services (Ireland) Limited.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-66040</wp:posOffset>
            </wp:positionV>
            <wp:extent cx="45720" cy="7747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 w:right="160"/>
        <w:spacing w:after="0" w:line="3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Więcej informacji na temat Funduszu i klasy akcji można uzyskać z najnowszego raportu rocznego i półrocznych raportów iShares II plc.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Dokumenty te są dostępne bezpłatnie w języku angielskim i niektórych innych językach.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Można je znaleźć, wraz z innymi informacjami, takimi jak szczegóły dotyczące kluczowych inwestycji bazowych klasy akcji i cen akcji, na stronie internetowej iShares pod adresem www.ishares.com lub pod numerem telefonu +44 (0)845 357 7000 lub od brokera lub doradcy finansowego.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Inwestorzy powinni mieć na uwadze, że przepisy podatkowe mające zastosowanie do funduszu i klasy akcji mogą mieć wpływ na indywidualną sytuację podatkową inwestycji.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-537210</wp:posOffset>
            </wp:positionV>
            <wp:extent cx="45720" cy="7747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-95250</wp:posOffset>
            </wp:positionV>
            <wp:extent cx="45720" cy="7747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280"/>
        <w:spacing w:after="0" w:line="3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Fundusz jest subfunduszem iShares II plc, struktury parasolowej obejmującej różne subfundusze.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Fundusz posiada jedną lub więcej klas akcji.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Niniejszy dokument odnosi się do kategorii funduszy i akcji podanej na początku niniejszego dokumentu.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Jednakże prospekt emisyjny, sprawozdania roczne i półroczne są przygotowywane dla parasola.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-243205</wp:posOffset>
            </wp:positionV>
            <wp:extent cx="45720" cy="7747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4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iShares II plc może zostać pociągnięta do odpowiedzialności wyłącznie na podstawie jakiegokolwiek oświadczenia zawartego w niniejszym dokumencie, które wprowadza w błąd, jest niedokładne lub niezgodne z odpowiednimi częściami prospektu emisyjnego Funduszu.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-243205</wp:posOffset>
            </wp:positionV>
            <wp:extent cx="45720" cy="7747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Orientacyjna śróddzienna wartość aktywów netto klasy akcji jest publikowana na odpowiednich stronach internetowych giełd.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-66040</wp:posOffset>
            </wp:positionV>
            <wp:extent cx="45720" cy="7747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 w:right="40"/>
        <w:spacing w:after="0" w:line="32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Zgodnie z prawem irlandzkim iShares II plc wydziela odpowiedzialność pomiędzy subfundusze (tj. aktywa Funduszu nie będą wykorzystywane do wywiązywania się z zobowiązań innych subfunduszy w ramach iShares II plc).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Ponadto aktywa Funduszu utrzymywane są odrębnie od aktywów innych subfunduszy.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Aktywa i zobowiązania specyficzne dla danej klasy akcji można by przypisać tylko do tej klasy akcji, jednak zgodnie z prawem irlandzkim nie ma rozdzielenia zobowiązań między kategorie akcji.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-389890</wp:posOffset>
            </wp:positionV>
            <wp:extent cx="45720" cy="7747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8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Zamiana akcji pomiędzy Funduszem a innymi subfunduszami w ramach iShares II plc nie jest dostępna dla inwestorów.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Tylko upoważnieni uczestnicy mający bezpośredni kontakt z Funduszem mogą przechodzić z jednej klasy akcji Funduszu do drugiej, pod warunkiem spełnienia określonych warunków zawartych w prospekcie emisyjnym Funduszu.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-243205</wp:posOffset>
            </wp:positionV>
            <wp:extent cx="45720" cy="7747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100"/>
        <w:spacing w:after="0" w:line="36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Polityka wynagradzania Spółki, która opisuje sposób ustalania i przyznawania wynagrodzeń i świadczeń oraz związane z tym ustalenia dotyczące ładu korporacyjnego, dostępna jest na stronie internetowej www.blackrock.com/Remunerationpolicy lub na wniosek siedziby Spółki.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5673090</wp:posOffset>
            </wp:positionH>
            <wp:positionV relativeFrom="paragraph">
              <wp:posOffset>2014855</wp:posOffset>
            </wp:positionV>
            <wp:extent cx="1097280" cy="45720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-283210</wp:posOffset>
            </wp:positionV>
            <wp:extent cx="45720" cy="7747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740"/>
        <w:spacing w:after="0" w:line="3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Fundusz ten oraz zarządzający nim BlackRock Asset Management Ireland Limited posiadają zezwolenie w Irlandii i są regulowane przez Central Bank of Ireland.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Niniejsze Kluczowe Informacje dla Inwestorów są aktualne na dzień 29 stycznia 2024 roku</w:t>
      </w:r>
    </w:p>
    <w:sectPr>
      <w:pgSz w:w="11900" w:h="16838" w:orient="portrait"/>
      <w:cols w:equalWidth="0" w:num="1">
        <w:col w:w="10660"/>
      </w:cols>
      <w:pgMar w:left="620" w:top="609" w:right="626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22B09B1F"/>
    <w:multiLevelType w:val="hybridMultilevel"/>
    <w:lvl w:ilvl="0">
      <w:lvlJc w:val="left"/>
      <w:lvlText w:val="-"/>
      <w:numFmt w:val="bullet"/>
      <w:start w:val="1"/>
    </w:lvl>
  </w:abstractNum>
  <w:abstractNum w:abstractNumId="1">
    <w:nsid w:val="15268E5"/>
    <w:multiLevelType w:val="hybridMultilevel"/>
    <w:lvl w:ilvl="0">
      <w:lvlJc w:val="left"/>
      <w:lvlText w:val="-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image" Target="media/image15.jpeg"/><Relationship Id="rId27" Type="http://schemas.openxmlformats.org/officeDocument/2006/relationships/image" Target="media/image16.png"/><Relationship Id="rId28" Type="http://schemas.openxmlformats.org/officeDocument/2006/relationships/image" Target="media/image17.png"/><Relationship Id="rId29" Type="http://schemas.openxmlformats.org/officeDocument/2006/relationships/image" Target="media/image18.png"/><Relationship Id="rId30" Type="http://schemas.openxmlformats.org/officeDocument/2006/relationships/image" Target="media/image19.png"/><Relationship Id="rId31" Type="http://schemas.openxmlformats.org/officeDocument/2006/relationships/image" Target="media/image20.png"/><Relationship Id="rId32" Type="http://schemas.openxmlformats.org/officeDocument/2006/relationships/image" Target="media/image21.png"/><Relationship Id="rId33" Type="http://schemas.openxmlformats.org/officeDocument/2006/relationships/image" Target="media/image22.png"/><Relationship Id="rId34" Type="http://schemas.openxmlformats.org/officeDocument/2006/relationships/image" Target="media/image23.png"/><Relationship Id="rId35" Type="http://schemas.openxmlformats.org/officeDocument/2006/relationships/image" Target="media/image24.png"/><Relationship Id="rId36" Type="http://schemas.openxmlformats.org/officeDocument/2006/relationships/image" Target="media/image25.png"/><Relationship Id="rId37" Type="http://schemas.openxmlformats.org/officeDocument/2006/relationships/image" Target="media/image26.png"/><Relationship Id="rId38" Type="http://schemas.openxmlformats.org/officeDocument/2006/relationships/image" Target="media/image27.png"/><Relationship Id="rId39" Type="http://schemas.openxmlformats.org/officeDocument/2006/relationships/image" Target="media/image28.png"/><Relationship Id="rId40" Type="http://schemas.openxmlformats.org/officeDocument/2006/relationships/image" Target="media/image29.png"/><Relationship Id="rId41" Type="http://schemas.openxmlformats.org/officeDocument/2006/relationships/image" Target="media/image30.png"/><Relationship Id="rId42" Type="http://schemas.openxmlformats.org/officeDocument/2006/relationships/image" Target="media/image31.png"/><Relationship Id="rId43" Type="http://schemas.openxmlformats.org/officeDocument/2006/relationships/image" Target="media/image32.jpeg"/><Relationship Id="rId44" Type="http://schemas.openxmlformats.org/officeDocument/2006/relationships/image" Target="media/image33.png"/><Relationship Id="rId45" Type="http://schemas.openxmlformats.org/officeDocument/2006/relationships/image" Target="media/image34.png"/><Relationship Id="rId46" Type="http://schemas.openxmlformats.org/officeDocument/2006/relationships/image" Target="media/image35.png"/><Relationship Id="rId47" Type="http://schemas.openxmlformats.org/officeDocument/2006/relationships/image" Target="media/image36.png"/><Relationship Id="rId48" Type="http://schemas.openxmlformats.org/officeDocument/2006/relationships/image" Target="media/image37.png"/><Relationship Id="rId49" Type="http://schemas.openxmlformats.org/officeDocument/2006/relationships/image" Target="media/image38.png"/><Relationship Id="rId50" Type="http://schemas.openxmlformats.org/officeDocument/2006/relationships/image" Target="media/image39.png"/><Relationship Id="rId51" Type="http://schemas.openxmlformats.org/officeDocument/2006/relationships/image" Target="media/image40.png"/><Relationship Id="rId52" Type="http://schemas.openxmlformats.org/officeDocument/2006/relationships/image" Target="media/image41.png"/><Relationship Id="rId53" Type="http://schemas.openxmlformats.org/officeDocument/2006/relationships/image" Target="media/image42.jpeg"/><Relationship Id="rId54" Type="http://schemas.openxmlformats.org/officeDocument/2006/relationships/image" Target="media/image43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2024-05-21T09:57:29Z</dcterms:created>
  <dcterms:modified xsi:type="dcterms:W3CDTF">2024-05-21T09:57:29Z</dcterms:modified>
</cp:coreProperties>
</file>