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 xmlns:w="http://schemas.openxmlformats.org/wordprocessingml/2006/main">
        <w:ind w:left="37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drawing xmlns:w="http://schemas.openxmlformats.org/wordprocessingml/2006/main">
          <wp:anchor xmlns:wp="http://schemas.openxmlformats.org/drawingml/2006/wordprocessingDrawing" simplePos="0" relativeHeight="251657728" behindDoc="1" locked="0" layoutInCell="0" allowOverlap="1">
            <wp:simplePos x="0" y="0"/>
            <wp:positionH relativeFrom="page">
              <wp:posOffset>396240</wp:posOffset>
            </wp:positionH>
            <wp:positionV relativeFrom="page">
              <wp:posOffset>360045</wp:posOffset>
            </wp:positionV>
            <wp:extent cx="1419225" cy="4762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KLUCZOWE INFORMACJE DLA INWESTORÓW</w:t>
      </w:r>
    </w:p>
    <w:p>
      <w:pPr>
        <w:spacing w:after="0" w:line="67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3720" w:right="100"/>
        <w:spacing w:after="0" w:line="31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Niniejszy dokument zawiera kluczowe informacje dla inwestorów na temat tego Funduszu.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Nie jest to materiał marketingowy.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Informacje te są wymagane przez prawo, aby pomóc Ci zrozumieć charakter i ryzyko inwestowania w ten Fundusz.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Zachęcamy do zapoznania się z nią, aby móc podjąć świadomą decyzję o ewentualnej inwestycji.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-9525</wp:posOffset>
            </wp:positionH>
            <wp:positionV relativeFrom="paragraph">
              <wp:posOffset>-24765</wp:posOffset>
            </wp:positionV>
            <wp:extent cx="6767830" cy="639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783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2" w:lineRule="exact"/>
        <w:rPr>
          <w:sz w:val="24"/>
          <w:szCs w:val="24"/>
          <w:color w:val="auto"/>
        </w:rPr>
      </w:pPr>
    </w:p>
    <w:tbl>
      <w:tblPr>
        <w:tblLayout w:type="fixed"/>
        <w:tblInd w:w="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45"/>
        </w:trPr>
        <w:tc>
          <w:tcPr>
            <w:tcW w:w="442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8"/>
                <w:szCs w:val="28"/>
                <w:color w:val="FFFFFF"/>
              </w:rPr>
              <w:t xml:space="preserve">akcje MSCI India UCITS ETF</w:t>
            </w:r>
          </w:p>
        </w:tc>
        <w:tc>
          <w:tcPr>
            <w:tcW w:w="2980" w:type="dxa"/>
            <w:vAlign w:val="bottom"/>
          </w:tcPr>
          <w:p>
            <w:pPr xmlns:w="http://schemas.openxmlformats.org/wordprocessingml/2006/main"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2"/>
                <w:szCs w:val="22"/>
                <w:color w:val="auto"/>
                <w:w w:val="88"/>
              </w:rPr>
              <w:t xml:space="preserve">Klasa akcji USD (Acc)</w:t>
            </w:r>
          </w:p>
        </w:tc>
        <w:tc>
          <w:tcPr>
            <w:tcW w:w="2140" w:type="dxa"/>
            <w:vAlign w:val="bottom"/>
            <w:vMerge w:val="restart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  <w:w w:val="86"/>
              </w:rPr>
              <w:t xml:space="preserve">Fundusz typu ETF (ang. Exchange Traded Fund)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2"/>
        </w:trPr>
        <w:tc>
          <w:tcPr>
            <w:tcW w:w="4420" w:type="dxa"/>
            <w:vAlign w:val="bottom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FFFFFF"/>
              </w:rPr>
              <w:t xml:space="preserve">Subfundusz iShares IV plc</w:t>
            </w:r>
          </w:p>
        </w:tc>
        <w:tc>
          <w:tcPr>
            <w:tcW w:w="2980" w:type="dxa"/>
            <w:vAlign w:val="bottom"/>
          </w:tcPr>
          <w:p>
            <w:pPr xmlns:w="http://schemas.openxmlformats.org/wordprocessingml/2006/main"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ISIN: IE00BZCQB185</w:t>
            </w:r>
          </w:p>
        </w:tc>
        <w:tc>
          <w:tcPr>
            <w:tcW w:w="2140" w:type="dxa"/>
            <w:vAlign w:val="bottom"/>
            <w:vMerge w:val="continue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44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 xmlns:w="http://schemas.openxmlformats.org/wordprocessingml/2006/main">
        <w:ind w:left="5400"/>
        <w:spacing w:after="0" w:line="21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Menedżer: BlackRock Asset Management Ireland Limited</w:t>
      </w:r>
    </w:p>
    <w:p>
      <w:pPr>
        <w:spacing w:after="0" w:line="7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6"/>
          <w:szCs w:val="26"/>
          <w:color w:val="auto"/>
        </w:rPr>
        <w:t xml:space="preserve">Cele i polityka inwestycyjna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6767830" cy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78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7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right="380" w:hanging="134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Klasa akcji to klasa akcji Funduszu, której celem jest uzyskanie zwrotu z inwestycji poprzez połączenie wzrostu kapitału i dochodu z aktywów Funduszu, co odzwierciedla zwrot indeksu MSCI India Index Net USD, indeksu referencyjnego Funduszu (Index).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Klasa Akcji, za pośrednictwem Funduszu, jest zarządzana pasywnie i inwestuje w udziałowe papiery wartościowe (np. akcje), które w miarę możliwości i możliwości tworzą Indeks.</w:t>
      </w:r>
    </w:p>
    <w:p>
      <w:pPr>
        <w:spacing w:after="0" w:line="7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right="40" w:hanging="134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Indeks mierzy wyniki dużych i średnich kapitalizacji na rynku indyjskim, które podlegają kryteriom wielkości, płynności i free float MSCI.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Indeks jest indeksem wag kapitalizacji rynkowej w wolnym obrocie i jest aktualizowany w okresach kwartalnych.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Wolny obrót oznacza, że przy obliczaniu Indeksu wykorzystywane są wyłącznie akcje łatwo dostępne na rynku, a nie wszystkie wyemitowane akcje spółki.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Kapitalizacja rynkowa w wolnym obrocie to cena akcji spółki pomnożona przez liczbę akcji dostępnych na rynku.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Płynne papiery wartościowe oznaczają, że można je łatwo kupić lub sprzedać na rynku w normalnych warunkach rynkowych.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Fundusz zamierza powielać Indeks poprzez utrzymywanie w podobnej proporcji udziałowych papierów wartościowych, które wchodzą w skład Indeksu.</w:t>
      </w:r>
    </w:p>
    <w:p>
      <w:pPr>
        <w:spacing w:after="0" w:line="4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right="300" w:hanging="134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Zarządzający inwestycjami może wykorzystywać finansowe instrumenty pochodne (BIZ) (tj. inwestycje, których ceny są oparte na jednym lub kilku aktywach bazowych), aby pomóc w osiągnięciu celu inwestycyjnego Funduszu.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BIZ mogą być wykorzystywane do celów inwestycji bezpośrednich.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Oczekuje się, że wykorzystanie BIZ w przypadku tej klasy udziałów będzie ograniczone.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Zalecenie: Fundusz ten jest odpowiedni dla inwestycji średnio- i długoterminowych, chociaż może być również odpowiedni dla krótkoterminowego zaangażowania w indeks.</w:t>
      </w:r>
    </w:p>
    <w:p>
      <w:pPr>
        <w:spacing w:after="0" w:line="59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8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Twoje akcje będą akumulowanymi udziałami (tzn. dochód zostanie uwzględniony w ich wartości).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8890</wp:posOffset>
            </wp:positionH>
            <wp:positionV relativeFrom="paragraph">
              <wp:posOffset>-83820</wp:posOffset>
            </wp:positionV>
            <wp:extent cx="45720" cy="7747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8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Twoje akcje będą denominowane w dolarach amerykańskich, walucie bazowej Funduszu.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8890</wp:posOffset>
            </wp:positionH>
            <wp:positionV relativeFrom="paragraph">
              <wp:posOffset>-83820</wp:posOffset>
            </wp:positionV>
            <wp:extent cx="45720" cy="7747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80" w:right="40"/>
        <w:spacing w:after="0" w:line="34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Akcje są notowane na jednej lub kilku giełdach i mogą być przedmiotem obrotu w walutach innych niż ich waluta bazowa.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Różnica kursów walut może mieć wpływ na wydajność Twoich akcji.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W normalnych okolicznościach wyłącznie uprawnieni uczestnicy (np. wybrane instytucje finansowe) mogą dokonywać transakcji na akcjach (lub udziałach w akcjach) bezpośrednio z Funduszem.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Inni inwestorzy mogą dokonywać codziennych transakcji na akcjach (lub udziałach w akcjach) poprzez pośrednika na giełdzie (giełdach), na której akcje są przedmiotem obrotu.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8890</wp:posOffset>
            </wp:positionH>
            <wp:positionV relativeFrom="paragraph">
              <wp:posOffset>-408305</wp:posOffset>
            </wp:positionV>
            <wp:extent cx="45720" cy="7747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Więcej informacji na temat Funduszu, klasy akcji, ryzyka i opłat można znaleźć w prospekcie emisyjnym Funduszu dostępnym na stronach dotyczących produktów pod adresem www.blackrock.com</w:t>
      </w:r>
    </w:p>
    <w:p>
      <w:pPr>
        <w:spacing w:after="0" w:line="87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6"/>
          <w:szCs w:val="26"/>
          <w:color w:val="auto"/>
        </w:rPr>
        <w:t xml:space="preserve">Profil ryzyka i zysku</w:t>
      </w:r>
    </w:p>
    <w:p>
      <w:pPr>
        <w:sectPr>
          <w:pgSz w:w="11900" w:h="16838" w:orient="portrait"/>
          <w:cols w:equalWidth="0" w:num="1">
            <w:col w:w="10580"/>
          </w:cols>
          <w:pgMar w:left="640" w:top="573" w:right="686" w:bottom="0" w:gutter="0" w:footer="0" w:header="0"/>
        </w:sectPr>
      </w:pPr>
    </w:p>
    <w:p>
      <w:pPr>
        <w:spacing w:after="0" w:line="111" w:lineRule="exact"/>
        <w:rPr>
          <w:sz w:val="24"/>
          <w:szCs w:val="24"/>
          <w:color w:val="auto"/>
        </w:rPr>
      </w:pPr>
    </w:p>
    <w:tbl>
      <w:tblPr>
        <w:tblLayout w:type="fixed"/>
        <w:tblInd w:w="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8"/>
        </w:trPr>
        <w:tc>
          <w:tcPr>
            <w:tcW w:w="2540" w:type="dxa"/>
            <w:vAlign w:val="bottom"/>
            <w:shd w:val="clear" w:color="auto" w:fill="000000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FFFFFF"/>
              </w:rPr>
              <w:t xml:space="preserve">Niższe ryzyko</w:t>
            </w:r>
          </w:p>
        </w:tc>
        <w:tc>
          <w:tcPr>
            <w:tcW w:w="2620" w:type="dxa"/>
            <w:vAlign w:val="bottom"/>
            <w:shd w:val="clear" w:color="auto" w:fill="000000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FFFFFF"/>
              </w:rPr>
              <w:t xml:space="preserve">Wyższe ryzyko</w:t>
            </w:r>
          </w:p>
        </w:tc>
      </w:tr>
      <w:tr>
        <w:trPr>
          <w:trHeight w:val="207"/>
        </w:trPr>
        <w:tc>
          <w:tcPr>
            <w:tcW w:w="2540" w:type="dxa"/>
            <w:vAlign w:val="bottom"/>
            <w:shd w:val="clear" w:color="auto" w:fill="000000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FFFFFF"/>
              </w:rPr>
              <w:t xml:space="preserve">Zazwyczaj niższe nagrody</w:t>
            </w:r>
          </w:p>
        </w:tc>
        <w:tc>
          <w:tcPr>
            <w:tcW w:w="2620" w:type="dxa"/>
            <w:vAlign w:val="bottom"/>
            <w:shd w:val="clear" w:color="auto" w:fill="000000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FFFFFF"/>
              </w:rPr>
              <w:t xml:space="preserve">Zwykle wyższe nagrody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25400</wp:posOffset>
            </wp:positionH>
            <wp:positionV relativeFrom="paragraph">
              <wp:posOffset>12700</wp:posOffset>
            </wp:positionV>
            <wp:extent cx="3258185" cy="33464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8185" cy="334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-9525</wp:posOffset>
            </wp:positionH>
            <wp:positionV relativeFrom="paragraph">
              <wp:posOffset>393065</wp:posOffset>
            </wp:positionV>
            <wp:extent cx="3329940" cy="952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94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-9525</wp:posOffset>
            </wp:positionH>
            <wp:positionV relativeFrom="paragraph">
              <wp:posOffset>-323215</wp:posOffset>
            </wp:positionV>
            <wp:extent cx="6767830" cy="952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78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right="280"/>
        <w:spacing w:after="0" w:line="32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Wskaźnik ryzyka został obliczony z uwzględnieniem symulowanych danych historycznych i może nie być wiarygodnym wskaźnikiem przyszłego profilu ryzyka klasy akcji.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Podana kategoria ryzyka nie jest gwarantowana i może się zmieniać w czasie.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Najniższa kategoria nie oznacza braku ryzyka.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-9525</wp:posOffset>
            </wp:positionH>
            <wp:positionV relativeFrom="paragraph">
              <wp:posOffset>-554990</wp:posOffset>
            </wp:positionV>
            <wp:extent cx="45720" cy="7747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-9525</wp:posOffset>
            </wp:positionH>
            <wp:positionV relativeFrom="paragraph">
              <wp:posOffset>-260350</wp:posOffset>
            </wp:positionV>
            <wp:extent cx="45720" cy="7747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-9525</wp:posOffset>
            </wp:positionH>
            <wp:positionV relativeFrom="paragraph">
              <wp:posOffset>-113030</wp:posOffset>
            </wp:positionV>
            <wp:extent cx="45720" cy="7747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140" w:right="60"/>
        <w:spacing w:after="0" w:line="29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Klasa akcji jest oceniana na sześć ze względu na charakter inwestycji, które obejmują ryzyka wymienione poniżej.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Czynniki te mogą mieć wpływ na wartość klasy akcji lub narażać klasę akcji na straty.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-9525</wp:posOffset>
            </wp:positionH>
            <wp:positionV relativeFrom="paragraph">
              <wp:posOffset>-390525</wp:posOffset>
            </wp:positionV>
            <wp:extent cx="45720" cy="7747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300" w:right="60" w:hanging="153"/>
        <w:spacing w:after="0" w:line="252" w:lineRule="auto"/>
        <w:tabs>
          <w:tab w:leader="none" w:pos="300" w:val="left"/>
        </w:tabs>
        <w:numPr>
          <w:ilvl w:val="0"/>
          <w:numId w:val="1"/>
        </w:numPr>
        <w:rPr>
          <w:rFonts w:ascii="Arial" w:cs="Arial" w:eastAsia="Arial" w:hAnsi="Arial"/>
          <w:sz w:val="33"/>
          <w:szCs w:val="33"/>
          <w:color w:val="auto"/>
          <w:vertAlign w:val="subscript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Rynki wschodzące są na ogół bardziej wrażliwe na warunki gospodarcze i polityczne niż rynki rozwinięte.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Inne czynniki obejmują większe "ryzyko płynności", ograniczenia inwestycji lub transferu aktywów, nieudaną/opóźnioną dostawę papierów wartościowych lub płatności na rzecz funduszu oraz ryzyko związane ze zrównoważonym rozwojem.</w:t>
      </w:r>
    </w:p>
    <w:p>
      <w:pPr xmlns:w="http://schemas.openxmlformats.org/wordprocessingml/2006/main">
        <w:spacing w:after="0" w:line="20" w:lineRule="exact"/>
        <w:rPr>
          <w:sz w:val="24"/>
          <w:szCs w:val="24"/>
          <w:color w:val="auto"/>
        </w:rPr>
      </w:pPr>
      <w:r>
        <w:rPr xmlns:w="http://schemas.openxmlformats.org/wordprocessingml/2006/main">
          <w:sz w:val="24"/>
          <w:szCs w:val="24"/>
          <w:color w:val="auto"/>
        </w:rPr>
        <w:br xmlns:w="http://schemas.openxmlformats.org/wordprocessingml/2006/main" w:type="column"/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60" w:right="20" w:hanging="159"/>
        <w:spacing w:after="0" w:line="208" w:lineRule="auto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37"/>
          <w:szCs w:val="37"/>
          <w:color w:val="auto"/>
          <w:vertAlign w:val="subscript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Ryzyko inwestycyjne koncentruje się w określonych sektorach, krajach, walutach lub przedsiębiorstwach.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Oznacza to, że Fundusz jest bardziej wrażliwy na wszelkie lokalne wydarzenia gospodarcze, rynkowe, polityczne, związane ze zrównoważonym rozwojem lub regulacyjne.</w:t>
      </w:r>
    </w:p>
    <w:p>
      <w:pPr xmlns:w="http://schemas.openxmlformats.org/wordprocessingml/2006/main">
        <w:ind w:left="160" w:hanging="159"/>
        <w:spacing w:after="0" w:line="186" w:lineRule="auto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26"/>
          <w:szCs w:val="26"/>
          <w:color w:val="auto"/>
          <w:vertAlign w:val="subscript"/>
        </w:rPr>
      </w:pPr>
      <w:r>
        <w:rPr xmlns:w="http://schemas.openxmlformats.org/wordprocessingml/2006/main">
          <w:rFonts w:ascii="Arial" w:cs="Arial" w:eastAsia="Arial" w:hAnsi="Arial"/>
          <w:sz w:val="13"/>
          <w:szCs w:val="13"/>
          <w:color w:val="auto"/>
        </w:rPr>
        <w:t xml:space="preserve">Wartość akcji i papierów wartościowych o charakterze udziałowym może być</w:t>
      </w:r>
    </w:p>
    <w:p>
      <w:pPr>
        <w:spacing w:after="0" w:line="5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60"/>
        <w:spacing w:after="0" w:line="28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zmiany na rynku akcji.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Wśród innych wpływowych czynników znajdują się wiadomości polityczne, gospodarcze, wyniki przedsiębiorstw i ważne wydarzenia korporacyjne.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Poszczególne rodzaje ryzyka nieodpowiednio ujęte we wskaźniku ryzyka obejmują: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-102235</wp:posOffset>
            </wp:positionH>
            <wp:positionV relativeFrom="paragraph">
              <wp:posOffset>-83820</wp:posOffset>
            </wp:positionV>
            <wp:extent cx="45720" cy="7747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60" w:right="100" w:hanging="159"/>
        <w:spacing w:after="0" w:line="208" w:lineRule="auto"/>
        <w:tabs>
          <w:tab w:leader="none" w:pos="160" w:val="left"/>
        </w:tabs>
        <w:numPr>
          <w:ilvl w:val="0"/>
          <w:numId w:val="3"/>
        </w:numPr>
        <w:rPr>
          <w:rFonts w:ascii="Arial" w:cs="Arial" w:eastAsia="Arial" w:hAnsi="Arial"/>
          <w:sz w:val="37"/>
          <w:szCs w:val="37"/>
          <w:color w:val="auto"/>
          <w:vertAlign w:val="subscript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Ryzyko kontrahenta: Niewypłacalność instytucji świadczących usługi, takie jak przechowywanie aktywów lub działających jako kontrahent instrumentów pochodnych lub innych instrumentów, może narazić klasę akcji na straty finansowe.</w:t>
      </w:r>
    </w:p>
    <w:p>
      <w:pPr>
        <w:spacing w:after="0" w:line="28" w:lineRule="exact"/>
        <w:rPr>
          <w:rFonts w:ascii="Arial" w:cs="Arial" w:eastAsia="Arial" w:hAnsi="Arial"/>
          <w:sz w:val="37"/>
          <w:szCs w:val="37"/>
          <w:color w:val="auto"/>
          <w:vertAlign w:val="subscript"/>
        </w:rPr>
      </w:pPr>
    </w:p>
    <w:p>
      <w:pPr xmlns:w="http://schemas.openxmlformats.org/wordprocessingml/2006/main">
        <w:ind w:left="160" w:right="40" w:hanging="159"/>
        <w:spacing w:after="0" w:line="182" w:lineRule="auto"/>
        <w:tabs>
          <w:tab w:leader="none" w:pos="160" w:val="left"/>
        </w:tabs>
        <w:numPr>
          <w:ilvl w:val="0"/>
          <w:numId w:val="3"/>
        </w:numPr>
        <w:rPr>
          <w:rFonts w:ascii="Arial" w:cs="Arial" w:eastAsia="Arial" w:hAnsi="Arial"/>
          <w:sz w:val="35"/>
          <w:szCs w:val="35"/>
          <w:color w:val="auto"/>
          <w:vertAlign w:val="subscript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Ryzyko płynności: Niższa płynność oznacza, że nie ma wystarczającej liczby kupujących lub sprzedających, aby fundusz mógł łatwo sprzedawać lub kupować inwestycje.</w:t>
      </w:r>
    </w:p>
    <w:p>
      <w:pPr>
        <w:spacing w:after="0" w:line="27" w:lineRule="exact"/>
        <w:rPr>
          <w:rFonts w:ascii="Arial" w:cs="Arial" w:eastAsia="Arial" w:hAnsi="Arial"/>
          <w:sz w:val="35"/>
          <w:szCs w:val="35"/>
          <w:color w:val="auto"/>
          <w:vertAlign w:val="subscript"/>
        </w:rPr>
      </w:pPr>
    </w:p>
    <w:p>
      <w:pPr xmlns:w="http://schemas.openxmlformats.org/wordprocessingml/2006/main">
        <w:ind w:left="160" w:right="160" w:hanging="159"/>
        <w:spacing w:after="0" w:line="182" w:lineRule="auto"/>
        <w:tabs>
          <w:tab w:leader="none" w:pos="160" w:val="left"/>
        </w:tabs>
        <w:numPr>
          <w:ilvl w:val="0"/>
          <w:numId w:val="3"/>
        </w:numPr>
        <w:rPr>
          <w:rFonts w:ascii="Arial" w:cs="Arial" w:eastAsia="Arial" w:hAnsi="Arial"/>
          <w:sz w:val="35"/>
          <w:szCs w:val="35"/>
          <w:color w:val="auto"/>
          <w:vertAlign w:val="subscript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Nie ma pewności, że niepewność w indyjskim prawie podatkowym nie wpłynie negatywnie na fundusz po ich wyjaśnieniu.</w:t>
      </w:r>
    </w:p>
    <w:p>
      <w:pPr>
        <w:spacing w:after="0" w:line="65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5180" w:space="380"/>
            <w:col w:w="5020"/>
          </w:cols>
          <w:pgMar w:left="640" w:top="573" w:right="686" w:bottom="0" w:gutter="0" w:footer="0" w:header="0"/>
          <w:type w:val="continuous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2"/>
          <w:szCs w:val="12"/>
          <w:color w:val="auto"/>
        </w:rPr>
        <w:t xml:space="preserve">Wskaźnik referencyjny stanowi własność intelektualną dostawcy indeksu.</w:t>
      </w:r>
      <w:r>
        <w:rPr xmlns:w="http://schemas.openxmlformats.org/wordprocessingml/2006/main">
          <w:rFonts w:ascii="Arial" w:cs="Arial" w:eastAsia="Arial" w:hAnsi="Arial"/>
          <w:sz w:val="12"/>
          <w:szCs w:val="12"/>
          <w:color w:val="auto"/>
        </w:rPr>
        <w:t xml:space="preserve"> Klasa udziału nie jest sponsorowana ani wspierana przez dostawcę indeksu.</w:t>
      </w:r>
      <w:r>
        <w:rPr xmlns:w="http://schemas.openxmlformats.org/wordprocessingml/2006/main">
          <w:rFonts w:ascii="Arial" w:cs="Arial" w:eastAsia="Arial" w:hAnsi="Arial"/>
          <w:sz w:val="12"/>
          <w:szCs w:val="12"/>
          <w:color w:val="auto"/>
        </w:rPr>
        <w:t xml:space="preserve"> Pełne wyłączenie odpowiedzialności znajduje się w prospekcie emisyjnym Funduszu.</w:t>
      </w:r>
    </w:p>
    <w:p>
      <w:pPr>
        <w:sectPr>
          <w:pgSz w:w="11900" w:h="16838" w:orient="portrait"/>
          <w:cols w:equalWidth="0" w:num="1">
            <w:col w:w="10580"/>
          </w:cols>
          <w:pgMar w:left="640" w:top="573" w:right="686" w:bottom="0" w:gutter="0" w:footer="0" w:header="0"/>
          <w:type w:val="continuous"/>
        </w:sectPr>
      </w:pPr>
    </w:p>
    <w:bookmarkStart w:id="1" w:name="page2"/>
    <w:bookmarkEnd w:id="1"/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2"/>
          <w:szCs w:val="22"/>
          <w:color w:val="auto"/>
        </w:rPr>
        <w:t xml:space="preserve">Opłaty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52070</wp:posOffset>
            </wp:positionV>
            <wp:extent cx="6767830" cy="9525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78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0660"/>
          </w:cols>
          <w:pgMar w:left="620" w:top="609" w:right="626" w:bottom="0" w:gutter="0" w:footer="0" w:header="0"/>
        </w:sectPr>
      </w:pPr>
    </w:p>
    <w:p>
      <w:pPr>
        <w:spacing w:after="0" w:line="16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" w:right="60"/>
        <w:spacing w:after="0" w:line="31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Opłaty te są przeznaczone na pokrycie kosztów prowadzenia Klasy Akcji, w tym kosztów jej marketingu i dystrybucji.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Opłaty te zmniejszają potencjalny wzrost Państwa inwestycji.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" w:right="240"/>
        <w:spacing w:after="0" w:line="31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* Nie dotyczy inwestorów rynku wtórnego.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Inwestorzy giełdowi będą ponosić opłaty pobierane przez swoich maklerów giełdowych.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Takie opłaty są publicznie dostępne na giełdach, na których akcje są notowane i znajdują się w obrocie, lub można je uzyskać od maklerów giełdowych.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" w:right="140"/>
        <w:spacing w:after="0" w:line="31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* Upoważnieni uczestnicy mający bezpośredni kontakt z Funduszem będą ponosić związane z tym koszty transakcyjne, w tym - w przypadku umorzeń - wszelkie mające zastosowanie podatki od zysków kapitałowych (CGT) i inne podatki od bazowych papierów wartościowych.</w:t>
      </w:r>
    </w:p>
    <w:p>
      <w:pPr>
        <w:spacing w:after="0" w:line="3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"/>
        <w:spacing w:after="0" w:line="33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Kwota opłat bieżących opiera się na stałej rocznej opłacie pobieranej od klasy akcji zgodnie z prospektem emisyjnym Funduszu.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Kwota ta nie obejmuje kosztów związanych z handlem portfelem, z wyjątkiem kosztów poniesionych na rzecz depozytariusza oraz wszelkich opłat za wejście/wyjście uiszczonych na rzecz bazowego systemu zbiorowego inwestowania (jeżeli takie istnieją).</w:t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14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20" w:right="40" w:hanging="6"/>
        <w:spacing w:after="0" w:line="333" w:lineRule="auto"/>
        <w:tabs>
          <w:tab w:leader="none" w:pos="239" w:val="left"/>
        </w:tabs>
        <w:numPr>
          <w:ilvl w:val="0"/>
          <w:numId w:val="4"/>
        </w:numPr>
        <w:rPr>
          <w:rFonts w:ascii="Arial" w:cs="Arial" w:eastAsia="Arial" w:hAnsi="Arial"/>
          <w:sz w:val="15"/>
          <w:szCs w:val="15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W zakresie, w jakim Fundusz udziela pożyczek papierów wartościowych w celu obniżenia kosztów, Fundusz otrzyma 62.5 % związanych z tym przychodów, a pozostałe 37.5 % zostanie otrzymane przez BlackRock jako podmiot udzielający pożyczek papierów wartościowych.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Ponieważ podział przychodów z pożyczek papierów wartościowych nie zwiększa kosztów funkcjonowania Funduszu, nie jest on uwzględniany w bieżących opłatach.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5715</wp:posOffset>
            </wp:positionH>
            <wp:positionV relativeFrom="paragraph">
              <wp:posOffset>3175</wp:posOffset>
            </wp:positionV>
            <wp:extent cx="3208020" cy="17272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020" cy="172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FFFFFF"/>
        </w:rPr>
        <w:t xml:space="preserve">Jednorazowe opłaty pobierane przed lub po dokonaniu inwestycji</w:t>
      </w:r>
    </w:p>
    <w:p>
      <w:pPr>
        <w:spacing w:after="0" w:line="54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3"/>
        </w:trPr>
        <w:tc>
          <w:tcPr>
            <w:tcW w:w="3540" w:type="dxa"/>
            <w:vAlign w:val="bottom"/>
            <w:shd w:val="clear" w:color="auto" w:fill="000000"/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FFFFFF"/>
              </w:rPr>
              <w:t xml:space="preserve">Opłata Wejściowa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  <w:w w:val="98"/>
              </w:rPr>
              <w:t xml:space="preserve">Brak*</w:t>
            </w:r>
          </w:p>
        </w:tc>
      </w:tr>
      <w:tr>
        <w:trPr>
          <w:trHeight w:val="41"/>
        </w:trPr>
        <w:tc>
          <w:tcPr>
            <w:tcW w:w="354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</w:tr>
      <w:tr>
        <w:trPr>
          <w:trHeight w:val="243"/>
        </w:trPr>
        <w:tc>
          <w:tcPr>
            <w:tcW w:w="3540" w:type="dxa"/>
            <w:vAlign w:val="bottom"/>
            <w:shd w:val="clear" w:color="auto" w:fill="000000"/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FFFFFF"/>
              </w:rPr>
              <w:t xml:space="preserve">Opłata za wyjście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  <w:w w:val="98"/>
              </w:rPr>
              <w:t xml:space="preserve">Brak*</w:t>
            </w:r>
          </w:p>
        </w:tc>
      </w:tr>
      <w:tr>
        <w:trPr>
          <w:trHeight w:val="41"/>
        </w:trPr>
        <w:tc>
          <w:tcPr>
            <w:tcW w:w="354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5715</wp:posOffset>
            </wp:positionH>
            <wp:positionV relativeFrom="paragraph">
              <wp:posOffset>-201930</wp:posOffset>
            </wp:positionV>
            <wp:extent cx="2245995" cy="95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99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5715</wp:posOffset>
            </wp:positionH>
            <wp:positionV relativeFrom="paragraph">
              <wp:posOffset>-394335</wp:posOffset>
            </wp:positionV>
            <wp:extent cx="3199130" cy="9525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1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00" w:right="240"/>
        <w:spacing w:after="0" w:line="34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Jest to maksymalna kwota, która może zostać pobrana z Twoich pieniędzy przed dokonaniem inwestycji lub przed wypłaceniem wpływów z Twoich inwestycji.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5715</wp:posOffset>
            </wp:positionH>
            <wp:positionV relativeFrom="paragraph">
              <wp:posOffset>-17145</wp:posOffset>
            </wp:positionV>
            <wp:extent cx="3208020" cy="183515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020" cy="183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FFFFFF"/>
        </w:rPr>
        <w:t xml:space="preserve">Opłaty pobierane z klasy akcji w ciągu każdego roku</w:t>
      </w:r>
    </w:p>
    <w:p>
      <w:pPr>
        <w:spacing w:after="0" w:line="71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34"/>
        </w:trPr>
        <w:tc>
          <w:tcPr>
            <w:tcW w:w="3540" w:type="dxa"/>
            <w:vAlign w:val="bottom"/>
            <w:shd w:val="clear" w:color="auto" w:fill="000000"/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FFFFFF"/>
              </w:rPr>
              <w:t xml:space="preserve">Opłaty Bieżące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0.65%**</w:t>
            </w:r>
          </w:p>
        </w:tc>
      </w:tr>
      <w:tr>
        <w:trPr>
          <w:trHeight w:val="24"/>
        </w:trPr>
        <w:tc>
          <w:tcPr>
            <w:tcW w:w="354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</w:tr>
      <w:tr>
        <w:trPr>
          <w:trHeight w:val="264"/>
        </w:trPr>
        <w:tc>
          <w:tcPr>
            <w:tcW w:w="4240" w:type="dxa"/>
            <w:vAlign w:val="bottom"/>
            <w:tcBorders>
              <w:bottom w:val="single" w:sz="8" w:color="auto"/>
            </w:tcBorders>
            <w:gridSpan w:val="2"/>
            <w:shd w:val="clear" w:color="auto" w:fill="000000"/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FFFFFF"/>
                <w:w w:val="96"/>
              </w:rPr>
              <w:t xml:space="preserve">Opłaty pobrane z klasy akcji pod pewnymi warunkami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42"/>
        </w:trPr>
        <w:tc>
          <w:tcPr>
            <w:tcW w:w="354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FFFFFF"/>
              </w:rPr>
              <w:t xml:space="preserve">Opłata za wydajność</w:t>
            </w:r>
          </w:p>
        </w:tc>
        <w:tc>
          <w:tcPr>
            <w:tcW w:w="7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Brak</w:t>
            </w: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5715</wp:posOffset>
            </wp:positionH>
            <wp:positionV relativeFrom="paragraph">
              <wp:posOffset>-358775</wp:posOffset>
            </wp:positionV>
            <wp:extent cx="3199130" cy="9525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1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5715</wp:posOffset>
            </wp:positionH>
            <wp:positionV relativeFrom="paragraph">
              <wp:posOffset>-165735</wp:posOffset>
            </wp:positionV>
            <wp:extent cx="3199130" cy="9525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1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5715</wp:posOffset>
            </wp:positionH>
            <wp:positionV relativeFrom="paragraph">
              <wp:posOffset>-522605</wp:posOffset>
            </wp:positionV>
            <wp:extent cx="3199130" cy="9525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1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5340" w:space="260"/>
            <w:col w:w="5060"/>
          </w:cols>
          <w:pgMar w:left="620" w:top="609" w:right="626" w:bottom="0" w:gutter="0" w:footer="0" w:header="0"/>
          <w:type w:val="continuous"/>
        </w:sect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2"/>
          <w:szCs w:val="22"/>
          <w:color w:val="auto"/>
        </w:rPr>
        <w:t xml:space="preserve">Dotychczasowa wydajność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52070</wp:posOffset>
            </wp:positionV>
            <wp:extent cx="6767830" cy="9525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78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0660"/>
          </w:cols>
          <w:pgMar w:left="620" w:top="609" w:right="626" w:bottom="0" w:gutter="0" w:footer="0" w:header="0"/>
          <w:type w:val="continuous"/>
        </w:sectPr>
      </w:pPr>
    </w:p>
    <w:p>
      <w:pPr>
        <w:spacing w:after="0" w:line="11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740"/>
        <w:spacing w:after="0" w:line="30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Dotychczasowa wydajność nie jest wskazówką dla przyszłej wydajności.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 w:line="32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Wykres pokazuje roczną wydajność klasy akcji w USD dla każdego pełnego roku kalendarzowego w okresie wyświetlanym na wykresie.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Jest ona wyrażona jako procentowa zmiana wartości aktywów netto klasy akcji na koniec każdego roku.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Fundusz został uruchomiony w 2018 roku.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W 2018 r. uruchomiono klasę Share.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Wyniki są wykazywane po odjęciu bieżących opłat.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Wszelkie opłaty za wjazd/wyjazd są wyłączone z obliczeń.</w:t>
      </w:r>
    </w:p>
    <w:p>
      <w:pPr>
        <w:spacing w:after="0" w:line="6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† Benchmark: MSCI India Net TR - w USD (USD)</w:t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9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Historyczne wykonanie do 31 grudnia 2022 roku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487680</wp:posOffset>
            </wp:positionH>
            <wp:positionV relativeFrom="paragraph">
              <wp:posOffset>20955</wp:posOffset>
            </wp:positionV>
            <wp:extent cx="3977640" cy="155448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7640" cy="155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3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8"/>
        </w:trPr>
        <w:tc>
          <w:tcPr>
            <w:tcW w:w="1260" w:type="dxa"/>
            <w:vAlign w:val="bottom"/>
            <w:tcBorders>
              <w:bottom w:val="single" w:sz="8" w:color="808080"/>
              <w:right w:val="single" w:sz="8" w:color="808080"/>
            </w:tcBorders>
            <w:gridSpan w:val="2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2018</w:t>
            </w:r>
          </w:p>
        </w:tc>
        <w:tc>
          <w:tcPr>
            <w:tcW w:w="116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2019</w:t>
            </w:r>
          </w:p>
        </w:tc>
        <w:tc>
          <w:tcPr>
            <w:tcW w:w="116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2020</w:t>
            </w:r>
          </w:p>
        </w:tc>
        <w:tc>
          <w:tcPr>
            <w:tcW w:w="116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2021</w:t>
            </w:r>
          </w:p>
        </w:tc>
        <w:tc>
          <w:tcPr>
            <w:tcW w:w="1160" w:type="dxa"/>
            <w:vAlign w:val="bottom"/>
            <w:tcBorders>
              <w:bottom w:val="single" w:sz="8" w:color="808080"/>
            </w:tcBorders>
          </w:tcPr>
          <w:p>
            <w:pPr xmlns:w="http://schemas.openxmlformats.org/wordprocessingml/2006/main"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2022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140" w:type="dxa"/>
            <w:vAlign w:val="bottom"/>
            <w:shd w:val="clear" w:color="auto" w:fill="FF4713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Fundusz</w:t>
            </w:r>
          </w:p>
        </w:tc>
        <w:tc>
          <w:tcPr>
            <w:tcW w:w="1160" w:type="dxa"/>
            <w:vAlign w:val="bottom"/>
            <w:tcBorders>
              <w:right w:val="single" w:sz="8" w:color="808080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6,8</w:t>
            </w:r>
          </w:p>
        </w:tc>
        <w:tc>
          <w:tcPr>
            <w:tcW w:w="116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14,9</w:t>
            </w:r>
          </w:p>
        </w:tc>
        <w:tc>
          <w:tcPr>
            <w:tcW w:w="116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25,1</w:t>
            </w:r>
          </w:p>
        </w:tc>
        <w:tc>
          <w:tcPr>
            <w:tcW w:w="116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- 8,5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808080"/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808080"/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808080"/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808080"/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† wskaźnika referencyjnego</w:t>
            </w:r>
          </w:p>
        </w:tc>
        <w:tc>
          <w:tcPr>
            <w:tcW w:w="1160" w:type="dxa"/>
            <w:vAlign w:val="bottom"/>
            <w:tcBorders>
              <w:right w:val="single" w:sz="8" w:color="808080"/>
            </w:tcBorders>
            <w:vMerge w:val="restart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7,6</w:t>
            </w:r>
          </w:p>
        </w:tc>
        <w:tc>
          <w:tcPr>
            <w:tcW w:w="116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15,6</w:t>
            </w:r>
          </w:p>
        </w:tc>
        <w:tc>
          <w:tcPr>
            <w:tcW w:w="116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26,2</w:t>
            </w:r>
          </w:p>
        </w:tc>
        <w:tc>
          <w:tcPr>
            <w:tcW w:w="116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- 8,0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140" w:type="dxa"/>
            <w:vAlign w:val="bottom"/>
            <w:shd w:val="clear" w:color="auto" w:fill="FFCE00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320" w:space="280"/>
            <w:col w:w="7060"/>
          </w:cols>
          <w:pgMar w:left="620" w:top="609" w:right="626" w:bottom="0" w:gutter="0" w:footer="0" w:header="0"/>
          <w:type w:val="continuous"/>
        </w:sectPr>
      </w:pPr>
    </w:p>
    <w:p>
      <w:pPr xmlns:w="http://schemas.openxmlformats.org/wordprocessingml/2006/main">
        <w:ind w:left="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6"/>
          <w:szCs w:val="26"/>
          <w:color w:val="auto"/>
        </w:rPr>
        <w:t xml:space="preserve">Informacje praktyczne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22860</wp:posOffset>
            </wp:positionV>
            <wp:extent cx="6767830" cy="9525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78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Depozytariuszem funduszu jest State Street Custodial Services (Ireland) Limited.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-66040</wp:posOffset>
            </wp:positionV>
            <wp:extent cx="45720" cy="7747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60" w:right="160"/>
        <w:spacing w:after="0" w:line="34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Więcej informacji na temat Funduszu oraz klasy akcji można uzyskać z ostatniego raportu rocznego oraz raportów półrocznych iShares IV plc.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Dokumenty te są dostępne bezpłatnie w języku angielskim i niektórych innych językach.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Można je znaleźć, wraz z innymi informacjami, takimi jak szczegóły dotyczące kluczowych inwestycji bazowych klasy akcji i cen akcji, na stronie internetowej iShares pod adresem www.ishares.com lub pod numerem telefonu +44 (0)845 357 7000 lub od brokera lub doradcy finansowego.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Inwestorzy powinni mieć na uwadze, że przepisy podatkowe mające zastosowanie do funduszu i klasy akcji mogą mieć wpływ na indywidualną sytuację podatkową inwestycji.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-537210</wp:posOffset>
            </wp:positionV>
            <wp:extent cx="45720" cy="7747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-95250</wp:posOffset>
            </wp:positionV>
            <wp:extent cx="45720" cy="7747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Fundusz jest subfunduszem iShares IV plc, struktury parasolowej obejmującej różne subfundusze.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Fundusz posiada jedną lub więcej klas akcji.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Niniejszy dokument dotyczy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-51435</wp:posOffset>
            </wp:positionV>
            <wp:extent cx="45720" cy="7747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fundusz i klasa akcji podane na początku niniejszego dokumentu.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Jednakże prospekt emisyjny, sprawozdania roczne i półroczne są przygotowywane dla parasola.</w:t>
      </w:r>
    </w:p>
    <w:p>
      <w:pPr>
        <w:spacing w:after="0" w:line="5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iShares IV plc może zostać pociągnięta do odpowiedzialności wyłącznie na podstawie jakiegokolwiek oświadczenia zawartego w tym dokumencie, które wprowadza w błąd, jest niedokładne lub niezgodne z odpowiednimi częściami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-51435</wp:posOffset>
            </wp:positionV>
            <wp:extent cx="45720" cy="7747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prospektu emisyjnego Funduszu.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Orientacyjna śróddzienna wartość aktywów netto klasy akcji jest dostępna pod adresem http://deutsche-boerse.com lub http://www.reuters.com.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-66040</wp:posOffset>
            </wp:positionV>
            <wp:extent cx="45720" cy="7747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60" w:right="80"/>
        <w:spacing w:after="0" w:line="32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Zgodnie z prawem irlandzkim iShares IV plc dokonało rozdziału odpowiedzialności pomiędzy subfunduszami (tj. aktywa Funduszu nie będą wykorzystywane do wywiązywania się z zobowiązań innych subfunduszy w ramach iShares IV plc).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Ponadto aktywa Funduszu utrzymywane są odrębnie od aktywów innych subfunduszy.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Aktywa i zobowiązania specyficzne dla danej klasy akcji można by przypisać tylko do tej klasy akcji, jednak zgodnie z prawem irlandzkim nie ma rozdzielenia zobowiązań między kategorie akcji.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-389890</wp:posOffset>
            </wp:positionV>
            <wp:extent cx="45720" cy="7747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160" w:right="380"/>
        <w:spacing w:after="0" w:line="32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Zamiana akcji pomiędzy Funduszem a innymi subfunduszami w ramach iShares IV plc nie jest dostępna dla inwestorów.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Tylko upoważnieni uczestnicy mający bezpośredni kontakt z Funduszem mogą przechodzić z jednej klasy akcji Funduszu do drugiej, pod warunkiem spełnienia określonych warunków zawartych w prospekcie emisyjnym Funduszu.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-243205</wp:posOffset>
            </wp:positionV>
            <wp:extent cx="45720" cy="7747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160" w:right="100"/>
        <w:spacing w:after="0" w:line="36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Polityka wynagradzania Spółki, która opisuje sposób ustalania i przyznawania wynagrodzeń i świadczeń oraz związane z tym ustalenia dotyczące ładu korporacyjnego, dostępna jest na stronie internetowej www.blackrock.com/Remunerationpolicy lub na wniosek siedziby Spółki.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5673090</wp:posOffset>
            </wp:positionH>
            <wp:positionV relativeFrom="paragraph">
              <wp:posOffset>1846580</wp:posOffset>
            </wp:positionV>
            <wp:extent cx="1097280" cy="45720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-283210</wp:posOffset>
            </wp:positionV>
            <wp:extent cx="45720" cy="7747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2740"/>
        <w:spacing w:after="0" w:line="32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Fundusz ten oraz zarządzający nim BlackRock Asset Management Ireland Limited posiadają zezwolenie w Irlandii i są regulowane przez Central Bank of Ireland.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Niniejsze Kluczowe Informacje dla Inwestorów są aktualne na dzień 31 stycznia 2023 roku</w:t>
      </w:r>
    </w:p>
    <w:sectPr>
      <w:pgSz w:w="11900" w:h="16838" w:orient="portrait"/>
      <w:cols w:equalWidth="0" w:num="1">
        <w:col w:w="10660"/>
      </w:cols>
      <w:pgMar w:left="620" w:top="609" w:right="626" w:bottom="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C6B7EF0"/>
    <w:multiLevelType w:val="hybridMultilevel"/>
    <w:lvl w:ilvl="0">
      <w:lvlJc w:val="left"/>
      <w:lvlText w:val="-"/>
      <w:numFmt w:val="bullet"/>
      <w:start w:val="1"/>
    </w:lvl>
  </w:abstractNum>
  <w:abstractNum w:abstractNumId="1">
    <w:nsid w:val="17FA2D14"/>
    <w:multiLevelType w:val="hybridMultilevel"/>
    <w:lvl w:ilvl="0">
      <w:lvlJc w:val="left"/>
      <w:lvlText w:val="-"/>
      <w:numFmt w:val="bullet"/>
      <w:start w:val="1"/>
    </w:lvl>
  </w:abstractNum>
  <w:abstractNum w:abstractNumId="2">
    <w:nsid w:val="5801B02D"/>
    <w:multiLevelType w:val="hybridMultilevel"/>
    <w:lvl w:ilvl="0">
      <w:lvlJc w:val="left"/>
      <w:lvlText w:val="-"/>
      <w:numFmt w:val="bullet"/>
      <w:start w:val="1"/>
    </w:lvl>
  </w:abstractNum>
  <w:abstractNum w:abstractNumId="3">
    <w:nsid w:val="7BFD188C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1" Type="http://schemas.openxmlformats.org/officeDocument/2006/relationships/numbering" Target="numbering.xml"/><Relationship Id="rId12" Type="http://schemas.openxmlformats.org/officeDocument/2006/relationships/image" Target="media/image1.jpe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0" Type="http://schemas.openxmlformats.org/officeDocument/2006/relationships/image" Target="media/image9.png"/><Relationship Id="rId21" Type="http://schemas.openxmlformats.org/officeDocument/2006/relationships/image" Target="media/image10.png"/><Relationship Id="rId22" Type="http://schemas.openxmlformats.org/officeDocument/2006/relationships/image" Target="media/image11.png"/><Relationship Id="rId23" Type="http://schemas.openxmlformats.org/officeDocument/2006/relationships/image" Target="media/image12.png"/><Relationship Id="rId24" Type="http://schemas.openxmlformats.org/officeDocument/2006/relationships/image" Target="media/image13.jpeg"/><Relationship Id="rId25" Type="http://schemas.openxmlformats.org/officeDocument/2006/relationships/image" Target="media/image14.png"/><Relationship Id="rId26" Type="http://schemas.openxmlformats.org/officeDocument/2006/relationships/image" Target="media/image15.png"/><Relationship Id="rId27" Type="http://schemas.openxmlformats.org/officeDocument/2006/relationships/image" Target="media/image16.png"/><Relationship Id="rId28" Type="http://schemas.openxmlformats.org/officeDocument/2006/relationships/image" Target="media/image17.png"/><Relationship Id="rId29" Type="http://schemas.openxmlformats.org/officeDocument/2006/relationships/image" Target="media/image18.png"/><Relationship Id="rId30" Type="http://schemas.openxmlformats.org/officeDocument/2006/relationships/image" Target="media/image19.png"/><Relationship Id="rId31" Type="http://schemas.openxmlformats.org/officeDocument/2006/relationships/image" Target="media/image20.png"/><Relationship Id="rId32" Type="http://schemas.openxmlformats.org/officeDocument/2006/relationships/image" Target="media/image21.png"/><Relationship Id="rId33" Type="http://schemas.openxmlformats.org/officeDocument/2006/relationships/image" Target="media/image22.png"/><Relationship Id="rId34" Type="http://schemas.openxmlformats.org/officeDocument/2006/relationships/image" Target="media/image23.png"/><Relationship Id="rId35" Type="http://schemas.openxmlformats.org/officeDocument/2006/relationships/image" Target="media/image24.png"/><Relationship Id="rId36" Type="http://schemas.openxmlformats.org/officeDocument/2006/relationships/image" Target="media/image25.png"/><Relationship Id="rId37" Type="http://schemas.openxmlformats.org/officeDocument/2006/relationships/image" Target="media/image26.png"/><Relationship Id="rId38" Type="http://schemas.openxmlformats.org/officeDocument/2006/relationships/image" Target="media/image27.png"/><Relationship Id="rId39" Type="http://schemas.openxmlformats.org/officeDocument/2006/relationships/image" Target="media/image28.png"/><Relationship Id="rId40" Type="http://schemas.openxmlformats.org/officeDocument/2006/relationships/image" Target="media/image29.png"/><Relationship Id="rId41" Type="http://schemas.openxmlformats.org/officeDocument/2006/relationships/image" Target="media/image30.jpeg"/><Relationship Id="rId42" Type="http://schemas.openxmlformats.org/officeDocument/2006/relationships/image" Target="media/image31.png"/><Relationship Id="rId43" Type="http://schemas.openxmlformats.org/officeDocument/2006/relationships/image" Target="media/image32.png"/><Relationship Id="rId44" Type="http://schemas.openxmlformats.org/officeDocument/2006/relationships/image" Target="media/image33.png"/><Relationship Id="rId45" Type="http://schemas.openxmlformats.org/officeDocument/2006/relationships/image" Target="media/image34.png"/><Relationship Id="rId46" Type="http://schemas.openxmlformats.org/officeDocument/2006/relationships/image" Target="media/image35.png"/><Relationship Id="rId47" Type="http://schemas.openxmlformats.org/officeDocument/2006/relationships/image" Target="media/image36.png"/><Relationship Id="rId48" Type="http://schemas.openxmlformats.org/officeDocument/2006/relationships/image" Target="media/image37.png"/><Relationship Id="rId49" Type="http://schemas.openxmlformats.org/officeDocument/2006/relationships/image" Target="media/image38.png"/><Relationship Id="rId50" Type="http://schemas.openxmlformats.org/officeDocument/2006/relationships/image" Target="media/image39.png"/><Relationship Id="rId51" Type="http://schemas.openxmlformats.org/officeDocument/2006/relationships/image" Target="media/image40.jpeg"/><Relationship Id="rId52" Type="http://schemas.openxmlformats.org/officeDocument/2006/relationships/image" Target="media/image41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2024-05-21T09:46:07Z</dcterms:created>
  <dcterms:modified xsi:type="dcterms:W3CDTF">2024-05-21T09:46:07Z</dcterms:modified>
</cp:coreProperties>
</file>