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648335</wp:posOffset>
                </wp:positionH>
                <wp:positionV relativeFrom="page">
                  <wp:posOffset>386715</wp:posOffset>
                </wp:positionV>
                <wp:extent cx="0" cy="567055"/>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567055"/>
                        </a:xfrm>
                        <a:prstGeom prst="line">
                          <a:avLst/>
                        </a:prstGeom>
                        <a:solidFill>
                          <a:srgbClr val="FFFFFF"/>
                        </a:solidFill>
                        <a:ln w="6350">
                          <a:solidFill>
                            <a:srgbClr val="000000"/>
                          </a:solidFill>
                          <a:miter lim="800000"/>
                          <a:headEnd/>
                          <a:tailEnd/>
                        </a:ln>
                      </wps:spPr>
                      <wps:bodyPr/>
                    </wps:wsp>
                  </a:graphicData>
                </a:graphic>
              </wp:anchor>
            </w:drawing>
          </mc:Choice>
          <mc:Fallback>
            <w:pict>
              <v:line xmlns:v="urn:schemas-microsoft-com:vml" id="Shape 1" o:spid="_x0000_s102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1.05pt,30.45pt" to="51.05pt,75.1pt" o:allowincell="f" strokecolor="#000000" strokeweight="0.5pt">
                <w10:wrap xmlns:w10="urn:schemas-microsoft-com:office:word" anchorx="page" anchory="page"/>
              </v:line>
            </w:pict>
          </mc:Fallback>
        </mc:AlternateContent>
      </w:r>
      <w:r>
        <w:rPr xmlns:w="http://schemas.openxmlformats.org/wordprocessingml/2006/main">
          <w:rFonts w:ascii="Arial" w:cs="Arial" w:eastAsia="Arial" w:hAnsi="Arial"/>
          <w:sz w:val="16"/>
          <w:szCs w:val="16"/>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5779135</wp:posOffset>
                </wp:positionH>
                <wp:positionV relativeFrom="page">
                  <wp:posOffset>386715</wp:posOffset>
                </wp:positionV>
                <wp:extent cx="0" cy="567055"/>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567055"/>
                        </a:xfrm>
                        <a:prstGeom prst="line">
                          <a:avLst/>
                        </a:prstGeom>
                        <a:solidFill>
                          <a:srgbClr val="FFFFFF"/>
                        </a:solidFill>
                        <a:ln w="6350">
                          <a:solidFill>
                            <a:srgbClr val="000000"/>
                          </a:solidFill>
                          <a:miter lim="800000"/>
                          <a:headEnd/>
                          <a:tailEnd/>
                        </a:ln>
                      </wps:spPr>
                      <wps:bodyPr/>
                    </wps:wsp>
                  </a:graphicData>
                </a:graphic>
              </wp:anchor>
            </w:drawing>
          </mc:Choice>
          <mc:Fallback>
            <w:pict>
              <v:line xmlns:v="urn:schemas-microsoft-com:vml" id="Shape 2" o:spid="_x0000_s102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55.05pt,30.45pt" to="455.05pt,75.1pt" o:allowincell="f" strokecolor="#000000" strokeweight="0.5pt">
                <w10:wrap xmlns:w10="urn:schemas-microsoft-com:office:word" anchorx="page" anchory="page"/>
              </v:line>
            </w:pict>
          </mc:Fallback>
        </mc:AlternateContent>
      </w:r>
      <w:r>
        <w:rPr xmlns:w="http://schemas.openxmlformats.org/wordprocessingml/2006/main">
          <w:rFonts w:ascii="Arial" w:cs="Arial" w:eastAsia="Arial" w:hAnsi="Arial"/>
          <w:sz w:val="16"/>
          <w:szCs w:val="16"/>
          <w:b w:val="1"/>
          <w:bCs w:val="1"/>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645160</wp:posOffset>
            </wp:positionH>
            <wp:positionV relativeFrom="page">
              <wp:posOffset>386715</wp:posOffset>
            </wp:positionV>
            <wp:extent cx="5608320" cy="32321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extLst>
                    </a:blip>
                    <a:srcRect/>
                    <a:stretch>
                      <a:fillRect/>
                    </a:stretch>
                  </pic:blipFill>
                  <pic:spPr bwMode="auto">
                    <a:xfrm>
                      <a:off x="0" y="0"/>
                      <a:ext cx="5608320" cy="323215"/>
                    </a:xfrm>
                    <a:prstGeom prst="rect">
                      <a:avLst/>
                    </a:prstGeom>
                    <a:noFill/>
                  </pic:spPr>
                </pic:pic>
              </a:graphicData>
            </a:graphic>
          </wp:anchor>
        </w:drawing>
      </w:r>
      <w:r>
        <w:rPr xmlns:w="http://schemas.openxmlformats.org/wordprocessingml/2006/main">
          <w:rFonts w:ascii="Arial" w:cs="Arial" w:eastAsia="Arial" w:hAnsi="Arial"/>
          <w:sz w:val="16"/>
          <w:szCs w:val="16"/>
          <w:b w:val="1"/>
          <w:bCs w:val="1"/>
          <w:color w:val="auto"/>
        </w:rPr>
        <w:t xml:space="preserve">Belangrijke informatie voor beleggers in het Verenigd Koninkrijk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5605780</wp:posOffset>
            </wp:positionH>
            <wp:positionV relativeFrom="paragraph">
              <wp:posOffset>-40005</wp:posOffset>
            </wp:positionV>
            <wp:extent cx="592455" cy="20129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extLst>
                    </a:blip>
                    <a:srcRect/>
                    <a:stretch>
                      <a:fillRect/>
                    </a:stretch>
                  </pic:blipFill>
                  <pic:spPr bwMode="auto">
                    <a:xfrm>
                      <a:off x="0" y="0"/>
                      <a:ext cx="592455" cy="201295"/>
                    </a:xfrm>
                    <a:prstGeom prst="rect">
                      <a:avLst/>
                    </a:prstGeom>
                    <a:noFill/>
                  </pic:spPr>
                </pic:pic>
              </a:graphicData>
            </a:graphic>
          </wp:anchor>
        </w:drawing>
      </w:r>
    </w:p>
    <w:p>
      <w:pPr>
        <w:spacing w:after="0" w:line="18" w:lineRule="exact"/>
        <w:rPr>
          <w:sz w:val="24"/>
          <w:szCs w:val="24"/>
          <w:color w:val="auto"/>
        </w:rPr>
      </w:pPr>
    </w:p>
    <w:p>
      <w:pPr xmlns:w="http://schemas.openxmlformats.org/wordprocessingml/2006/main">
        <w:jc w:val="both"/>
        <w:ind w:left="160" w:right="2340"/>
        <w:spacing w:after="0" w:line="247" w:lineRule="auto"/>
        <w:rPr>
          <w:sz w:val="20"/>
          <w:szCs w:val="20"/>
          <w:color w:val="auto"/>
        </w:rPr>
      </w:pPr>
      <w:r>
        <w:rPr xmlns:w="http://schemas.openxmlformats.org/wordprocessingml/2006/main">
          <w:rFonts w:ascii="Arial" w:cs="Arial" w:eastAsia="Arial" w:hAnsi="Arial"/>
          <w:sz w:val="16"/>
          <w:szCs w:val="16"/>
          <w:color w:val="auto"/>
        </w:rPr>
        <w:t xml:space="preserve">Dit document geeft u belangrijke beleggersinformatie over dit fonds.</w:t>
      </w:r>
      <w:r>
        <w:rPr xmlns:w="http://schemas.openxmlformats.org/wordprocessingml/2006/main">
          <w:rFonts w:ascii="Arial" w:cs="Arial" w:eastAsia="Arial" w:hAnsi="Arial"/>
          <w:sz w:val="16"/>
          <w:szCs w:val="16"/>
          <w:color w:val="auto"/>
        </w:rPr>
        <w:t xml:space="preserve"> Het is geen marketingmateriaal.</w:t>
      </w:r>
      <w:r>
        <w:rPr xmlns:w="http://schemas.openxmlformats.org/wordprocessingml/2006/main">
          <w:rFonts w:ascii="Arial" w:cs="Arial" w:eastAsia="Arial" w:hAnsi="Arial"/>
          <w:sz w:val="16"/>
          <w:szCs w:val="16"/>
          <w:color w:val="auto"/>
        </w:rPr>
        <w:t xml:space="preserve"> De informatie is wettelijk vereist om u te helpen de aard en de risico's van beleggen in dit fonds te begrijpen.</w:t>
      </w:r>
      <w:r>
        <w:rPr xmlns:w="http://schemas.openxmlformats.org/wordprocessingml/2006/main">
          <w:rFonts w:ascii="Arial" w:cs="Arial" w:eastAsia="Arial" w:hAnsi="Arial"/>
          <w:sz w:val="16"/>
          <w:szCs w:val="16"/>
          <w:color w:val="auto"/>
        </w:rPr>
        <w:t xml:space="preserve"> U wordt geadviseerd om het te lezen, zodat u een weloverwogen beslissing kunt nemen over het al dan niet beleggen.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-125095</wp:posOffset>
            </wp:positionV>
            <wp:extent cx="6199505" cy="17970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6199505" cy="17970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-125095</wp:posOffset>
            </wp:positionV>
            <wp:extent cx="6199505" cy="17970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6199505" cy="179705"/>
                    </a:xfrm>
                    <a:prstGeom prst="rect">
                      <a:avLst/>
                    </a:prstGeom>
                    <a:noFill/>
                  </pic:spPr>
                </pic:pic>
              </a:graphicData>
            </a:graphic>
          </wp:anchor>
        </w:drawing>
      </w:r>
    </w:p>
    <w:p>
      <w:pPr>
        <w:spacing w:after="0" w:line="109" w:lineRule="exact"/>
        <w:rPr>
          <w:sz w:val="24"/>
          <w:szCs w:val="24"/>
          <w:color w:val="auto"/>
        </w:rPr>
      </w:pP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22"/>
          <w:szCs w:val="22"/>
          <w:b w:val="1"/>
          <w:bCs w:val="1"/>
          <w:color w:val="auto"/>
        </w:rPr>
        <w:t xml:space="preserve">Xtrackers Artificial Intelligence &amp; Big Data UCITS ETF</w:t>
      </w:r>
    </w:p>
    <w:p>
      <w:pPr>
        <w:spacing w:after="0" w:line="22" w:lineRule="exact"/>
        <w:rPr>
          <w:sz w:val="24"/>
          <w:szCs w:val="24"/>
          <w:color w:val="auto"/>
        </w:rPr>
      </w:pP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22"/>
          <w:szCs w:val="22"/>
          <w:b w:val="1"/>
          <w:bCs w:val="1"/>
          <w:color w:val="auto"/>
        </w:rPr>
        <w:t xml:space="preserve">Aandelenklasse: 1C, ISIN: IE00BGV5VN51, Beveiligingscode: A2N6LC, Valuta: USD</w:t>
      </w: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auto"/>
        </w:rPr>
        <w:t xml:space="preserve">een subfonds van Xtrackers (IE) plc.</w:t>
      </w:r>
      <w:r>
        <w:rPr xmlns:w="http://schemas.openxmlformats.org/wordprocessingml/2006/main">
          <w:rFonts w:ascii="Arial" w:cs="Arial" w:eastAsia="Arial" w:hAnsi="Arial"/>
          <w:sz w:val="16"/>
          <w:szCs w:val="16"/>
          <w:color w:val="auto"/>
        </w:rPr>
        <w:t xml:space="preserve"> De beheermaatschappij is DWS Investment S.A., een lid van de DWS Group.</w:t>
      </w:r>
    </w:p>
    <w:p>
      <w:pPr>
        <w:spacing w:after="0" w:line="38" w:lineRule="exact"/>
        <w:rPr>
          <w:sz w:val="24"/>
          <w:szCs w:val="24"/>
          <w:color w:val="auto"/>
        </w:rPr>
      </w:pP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22"/>
          <w:szCs w:val="22"/>
          <w:b w:val="1"/>
          <w:bCs w:val="1"/>
          <w:color w:val="auto"/>
        </w:rPr>
        <w:t xml:space="preserve">Doelstellingen en investeringsbeleid</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13970</wp:posOffset>
                </wp:positionH>
                <wp:positionV relativeFrom="paragraph">
                  <wp:posOffset>32385</wp:posOffset>
                </wp:positionV>
                <wp:extent cx="6396355"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96355" cy="4763"/>
                        </a:xfrm>
                        <a:prstGeom prst="line">
                          <a:avLst/>
                        </a:prstGeom>
                        <a:solidFill>
                          <a:srgbClr val="FFFFFF"/>
                        </a:solidFill>
                        <a:ln w="19050">
                          <a:solidFill>
                            <a:srgbClr val="EE7203"/>
                          </a:solidFill>
                          <a:miter lim="800000"/>
                          <a:headEnd/>
                          <a:tailEnd/>
                        </a:ln>
                      </wps:spPr>
                      <wps:bodyPr/>
                    </wps:wsp>
                  </a:graphicData>
                </a:graphic>
              </wp:anchor>
            </w:drawing>
          </mc:Choice>
          <mc:Fallback>
            <w:pict>
              <v:line id="Shape 7" o:spid="_x0000_s103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1pt,2.55pt" to="504.75pt,2.55pt" o:allowincell="f" strokecolor="#EE7203" strokeweight="1.5pt"/>
            </w:pict>
          </mc:Fallback>
        </mc:AlternateContent>
      </w:r>
    </w:p>
    <w:p>
      <w:pPr>
        <w:sectPr>
          <w:pgSz w:w="11900" w:h="16838" w:orient="portrait"/>
          <w:cols w:equalWidth="0" w:num="1">
            <w:col w:w="10020"/>
          </w:cols>
          <w:pgMar w:left="1020" w:top="626" w:right="866" w:bottom="195" w:gutter="0" w:footer="0" w:header="0"/>
        </w:sectPr>
      </w:pPr>
    </w:p>
    <w:p>
      <w:pPr>
        <w:spacing w:after="0" w:line="116" w:lineRule="exact"/>
        <w:rPr>
          <w:sz w:val="24"/>
          <w:szCs w:val="24"/>
          <w:color w:val="auto"/>
        </w:rPr>
      </w:pPr>
    </w:p>
    <w:p>
      <w:pPr xmlns:w="http://schemas.openxmlformats.org/wordprocessingml/2006/main">
        <w:jc w:val="both"/>
        <w:ind w:left="60"/>
        <w:spacing w:after="0" w:line="258" w:lineRule="auto"/>
        <w:rPr>
          <w:sz w:val="20"/>
          <w:szCs w:val="20"/>
          <w:color w:val="auto"/>
        </w:rPr>
      </w:pPr>
      <w:r>
        <w:rPr xmlns:w="http://schemas.openxmlformats.org/wordprocessingml/2006/main">
          <w:rFonts w:ascii="Arial" w:cs="Arial" w:eastAsia="Arial" w:hAnsi="Arial"/>
          <w:sz w:val="15"/>
          <w:szCs w:val="15"/>
          <w:color w:val="auto"/>
        </w:rPr>
        <w:t xml:space="preserve">Het fonds wordt passief beheerd.</w:t>
      </w:r>
      <w:r>
        <w:rPr xmlns:w="http://schemas.openxmlformats.org/wordprocessingml/2006/main">
          <w:rFonts w:ascii="Arial" w:cs="Arial" w:eastAsia="Arial" w:hAnsi="Arial"/>
          <w:sz w:val="15"/>
          <w:szCs w:val="15"/>
          <w:color w:val="auto"/>
        </w:rPr>
        <w:t xml:space="preserve"> Het doel is dat uw investering de prestaties vóór kosten en uitgaven van de Nasdaq Global Artificial Intelligence and Big Data Index (index) bijhoudt.</w:t>
      </w:r>
      <w:r>
        <w:rPr xmlns:w="http://schemas.openxmlformats.org/wordprocessingml/2006/main">
          <w:rFonts w:ascii="Arial" w:cs="Arial" w:eastAsia="Arial" w:hAnsi="Arial"/>
          <w:sz w:val="15"/>
          <w:szCs w:val="15"/>
          <w:color w:val="auto"/>
        </w:rPr>
        <w:t xml:space="preserve"> De index is ontworpen om de prestaties weer te geven van de aandelen van bedrijven uit wereldwijd ontwikkelde en opkomende markten die een materiële blootstelling hebben aan thema's met betrekking tot kunstmatige intelligentie, gegevensverwerking en gegevensbeveiliging die voldoen aan bepaalde milieu-, sociale en governancecriteria (ESG).</w:t>
      </w:r>
      <w:r>
        <w:rPr xmlns:w="http://schemas.openxmlformats.org/wordprocessingml/2006/main">
          <w:rFonts w:ascii="Arial" w:cs="Arial" w:eastAsia="Arial" w:hAnsi="Arial"/>
          <w:sz w:val="15"/>
          <w:szCs w:val="15"/>
          <w:color w:val="auto"/>
        </w:rPr>
        <w:t xml:space="preserve"> Nasdaq past een screening- en analyseproces toe om indexcomponenten te identificeren.</w:t>
      </w:r>
      <w:r>
        <w:rPr xmlns:w="http://schemas.openxmlformats.org/wordprocessingml/2006/main">
          <w:rFonts w:ascii="Arial" w:cs="Arial" w:eastAsia="Arial" w:hAnsi="Arial"/>
          <w:sz w:val="15"/>
          <w:szCs w:val="15"/>
          <w:color w:val="auto"/>
        </w:rPr>
        <w:t xml:space="preserve"> Dit proces omvat, maar is niet beperkt tot, het analyseren van patentgegevens, marktomvang, handelsvolume, marktnotering en beperkingen op buitenlands eigendom.</w:t>
      </w:r>
      <w:r>
        <w:rPr xmlns:w="http://schemas.openxmlformats.org/wordprocessingml/2006/main">
          <w:rFonts w:ascii="Arial" w:cs="Arial" w:eastAsia="Arial" w:hAnsi="Arial"/>
          <w:sz w:val="15"/>
          <w:szCs w:val="15"/>
          <w:color w:val="auto"/>
        </w:rPr>
        <w:t xml:space="preserve"> De index maakt gebruik van ESG-risicoscores van een externe gegevensaanbieder.</w:t>
      </w:r>
      <w:r>
        <w:rPr xmlns:w="http://schemas.openxmlformats.org/wordprocessingml/2006/main">
          <w:rFonts w:ascii="Arial" w:cs="Arial" w:eastAsia="Arial" w:hAnsi="Arial"/>
          <w:sz w:val="15"/>
          <w:szCs w:val="15"/>
          <w:color w:val="auto"/>
        </w:rPr>
        <w:t xml:space="preserve"> De ESG-risicoscores zijn verdeeld over vijf risiconiveaus: verwaarloosbaar (0-10), laag (10-20), gemiddeld (20-30), hoog (30-40) en ernstig (40+).</w:t>
      </w:r>
      <w:r>
        <w:rPr xmlns:w="http://schemas.openxmlformats.org/wordprocessingml/2006/main">
          <w:rFonts w:ascii="Arial" w:cs="Arial" w:eastAsia="Arial" w:hAnsi="Arial"/>
          <w:sz w:val="15"/>
          <w:szCs w:val="15"/>
          <w:color w:val="auto"/>
        </w:rPr>
        <w:t xml:space="preserve"> Bedrijven mogen geen ESG-risicoscore van 40 of hoger hebben en moeten ook voldoen aan de Global Compact Principles van de Verenigde Naties.</w:t>
      </w:r>
      <w:r>
        <w:rPr xmlns:w="http://schemas.openxmlformats.org/wordprocessingml/2006/main">
          <w:rFonts w:ascii="Arial" w:cs="Arial" w:eastAsia="Arial" w:hAnsi="Arial"/>
          <w:sz w:val="15"/>
          <w:szCs w:val="15"/>
          <w:color w:val="auto"/>
        </w:rPr>
        <w:t xml:space="preserve"> Bedrijven die betrokken zijn bij bepaalde gradaties van tabaksproducten, thermische steenkool, oliezanden, controversiële wapens, civiele vuurwapens, handvuurwapens en militaire contracten, kernwapens, verarmd uranium, entertainment voor volwassenen of gokken zijn ook uitgesloten van de index.</w:t>
      </w:r>
      <w:r>
        <w:rPr xmlns:w="http://schemas.openxmlformats.org/wordprocessingml/2006/main">
          <w:rFonts w:ascii="Arial" w:cs="Arial" w:eastAsia="Arial" w:hAnsi="Arial"/>
          <w:sz w:val="15"/>
          <w:szCs w:val="15"/>
          <w:color w:val="auto"/>
        </w:rPr>
        <w:t xml:space="preserve"> Maximaal 100 effecten met de hoogste intensiteitsscore en de hoogste gemiddelde contributiescore die aan de ESG-criteria voldoen, worden vervolgens geselecteerd voor opname in de index.</w:t>
      </w:r>
      <w:r>
        <w:rPr xmlns:w="http://schemas.openxmlformats.org/wordprocessingml/2006/main">
          <w:rFonts w:ascii="Arial" w:cs="Arial" w:eastAsia="Arial" w:hAnsi="Arial"/>
          <w:sz w:val="15"/>
          <w:szCs w:val="15"/>
          <w:color w:val="auto"/>
        </w:rPr>
        <w:t xml:space="preserve"> De index volgt een marktkapitalisatiewegingsbenadering en de individuele effecten worden elk halfjaar afgetopt op 4,5%</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96" w:lineRule="exact"/>
        <w:rPr>
          <w:sz w:val="24"/>
          <w:szCs w:val="24"/>
          <w:color w:val="auto"/>
        </w:rPr>
      </w:pPr>
    </w:p>
    <w:p>
      <w:pPr xmlns:w="http://schemas.openxmlformats.org/wordprocessingml/2006/main">
        <w:jc w:val="both"/>
        <w:spacing w:after="0" w:line="241" w:lineRule="auto"/>
        <w:rPr>
          <w:sz w:val="20"/>
          <w:szCs w:val="20"/>
          <w:color w:val="auto"/>
        </w:rPr>
      </w:pPr>
      <w:r>
        <w:rPr xmlns:w="http://schemas.openxmlformats.org/wordprocessingml/2006/main">
          <w:rFonts w:ascii="Arial" w:cs="Arial" w:eastAsia="Arial" w:hAnsi="Arial"/>
          <w:sz w:val="16"/>
          <w:szCs w:val="16"/>
          <w:color w:val="auto"/>
        </w:rPr>
        <w:t xml:space="preserve">evenwichtsherstel.</w:t>
      </w:r>
      <w:r>
        <w:rPr xmlns:w="http://schemas.openxmlformats.org/wordprocessingml/2006/main">
          <w:rFonts w:ascii="Arial" w:cs="Arial" w:eastAsia="Arial" w:hAnsi="Arial"/>
          <w:sz w:val="16"/>
          <w:szCs w:val="16"/>
          <w:color w:val="auto"/>
        </w:rPr>
        <w:t xml:space="preserve"> De index wordt berekend op basis van het totale netto rendement.</w:t>
      </w:r>
      <w:r>
        <w:rPr xmlns:w="http://schemas.openxmlformats.org/wordprocessingml/2006/main">
          <w:rFonts w:ascii="Arial" w:cs="Arial" w:eastAsia="Arial" w:hAnsi="Arial"/>
          <w:sz w:val="16"/>
          <w:szCs w:val="16"/>
          <w:color w:val="auto"/>
        </w:rPr>
        <w:t xml:space="preserve"> Dit betekent dat alle dividenden en uitkeringen door de vennootschappen na belastingen in de aandelen worden herbelegd.</w:t>
      </w:r>
      <w:r>
        <w:rPr xmlns:w="http://schemas.openxmlformats.org/wordprocessingml/2006/main">
          <w:rFonts w:ascii="Arial" w:cs="Arial" w:eastAsia="Arial" w:hAnsi="Arial"/>
          <w:sz w:val="16"/>
          <w:szCs w:val="16"/>
          <w:color w:val="auto"/>
        </w:rPr>
        <w:t xml:space="preserve"> De index wordt halfjaarlijks herzien en opnieuw in evenwicht gebracht en kan ook op andere momenten opnieuw in evenwicht worden gebracht om bedrijfsactiviteiten zoals fusies en overnames weer te geven.</w:t>
      </w:r>
      <w:r>
        <w:rPr xmlns:w="http://schemas.openxmlformats.org/wordprocessingml/2006/main">
          <w:rFonts w:ascii="Arial" w:cs="Arial" w:eastAsia="Arial" w:hAnsi="Arial"/>
          <w:sz w:val="16"/>
          <w:szCs w:val="16"/>
          <w:color w:val="auto"/>
        </w:rPr>
        <w:t xml:space="preserve"> De index wordt dagelijks berekend in Amerikaanse dollars.</w:t>
      </w:r>
      <w:r>
        <w:rPr xmlns:w="http://schemas.openxmlformats.org/wordprocessingml/2006/main">
          <w:rFonts w:ascii="Arial" w:cs="Arial" w:eastAsia="Arial" w:hAnsi="Arial"/>
          <w:sz w:val="16"/>
          <w:szCs w:val="16"/>
          <w:color w:val="auto"/>
        </w:rPr>
        <w:t xml:space="preserve"> Om het doel te bereiken, zal het fonds proberen de index te repliceren, vóór kosten en uitgaven, door alle of een aanzienlijk aantal van de effecten in de index te kopen.</w:t>
      </w:r>
      <w:r>
        <w:rPr xmlns:w="http://schemas.openxmlformats.org/wordprocessingml/2006/main">
          <w:rFonts w:ascii="Arial" w:cs="Arial" w:eastAsia="Arial" w:hAnsi="Arial"/>
          <w:sz w:val="16"/>
          <w:szCs w:val="16"/>
          <w:color w:val="auto"/>
        </w:rPr>
        <w:t xml:space="preserve"> Het fonds kan technieken en instrumenten gebruiken om risico's te beheren, kosten te verlagen en resultaten te verbeteren.</w:t>
      </w:r>
      <w:r>
        <w:rPr xmlns:w="http://schemas.openxmlformats.org/wordprocessingml/2006/main">
          <w:rFonts w:ascii="Arial" w:cs="Arial" w:eastAsia="Arial" w:hAnsi="Arial"/>
          <w:sz w:val="16"/>
          <w:szCs w:val="16"/>
          <w:color w:val="auto"/>
        </w:rPr>
        <w:t xml:space="preserve"> Deze technieken en instrumenten kunnen het gebruik van financiële contracten (derivaten) omvatten.</w:t>
      </w:r>
      <w:r>
        <w:rPr xmlns:w="http://schemas.openxmlformats.org/wordprocessingml/2006/main">
          <w:rFonts w:ascii="Arial" w:cs="Arial" w:eastAsia="Arial" w:hAnsi="Arial"/>
          <w:sz w:val="16"/>
          <w:szCs w:val="16"/>
          <w:color w:val="auto"/>
        </w:rPr>
        <w:t xml:space="preserve"> Het fonds kan ook overgaan tot gedekte leningen van zijn investeringen aan bepaalde in aanmerking komende derden om extra inkomsten te genereren ter compensatie van de kosten van het fonds.</w:t>
      </w:r>
      <w:r>
        <w:rPr xmlns:w="http://schemas.openxmlformats.org/wordprocessingml/2006/main">
          <w:rFonts w:ascii="Arial" w:cs="Arial" w:eastAsia="Arial" w:hAnsi="Arial"/>
          <w:sz w:val="16"/>
          <w:szCs w:val="16"/>
          <w:color w:val="auto"/>
        </w:rPr>
        <w:t xml:space="preserve"> Bepaalde informatie (waaronder de laatste aandelenkoersen van het fonds, indicatieve netto-activawaarden, volledige openbaarmaking over de samenstelling van de portefeuille van het fonds en informatie over de indexbestanddelen) zijn beschikbaar op uw lokale DWS-website of op www.Xtrackers.com.</w:t>
      </w:r>
      <w:r>
        <w:rPr xmlns:w="http://schemas.openxmlformats.org/wordprocessingml/2006/main">
          <w:rFonts w:ascii="Arial" w:cs="Arial" w:eastAsia="Arial" w:hAnsi="Arial"/>
          <w:sz w:val="16"/>
          <w:szCs w:val="16"/>
          <w:color w:val="auto"/>
        </w:rPr>
        <w:t xml:space="preserve"> Transactiekosten en belastingen, onverwachte fondskosten en marktomstandigheden zoals volatiliteit of liquiditeitsproblemen kunnen van invloed zijn op het vermogen van het fonds om de index te volgen.</w:t>
      </w:r>
      <w:r>
        <w:rPr xmlns:w="http://schemas.openxmlformats.org/wordprocessingml/2006/main">
          <w:rFonts w:ascii="Arial" w:cs="Arial" w:eastAsia="Arial" w:hAnsi="Arial"/>
          <w:sz w:val="16"/>
          <w:szCs w:val="16"/>
          <w:color w:val="auto"/>
        </w:rPr>
        <w:t xml:space="preserve"> Het verwachte niveau van tracking error in normale marktomstandigheden is 2 procent.</w:t>
      </w:r>
      <w:r>
        <w:rPr xmlns:w="http://schemas.openxmlformats.org/wordprocessingml/2006/main">
          <w:rFonts w:ascii="Arial" w:cs="Arial" w:eastAsia="Arial" w:hAnsi="Arial"/>
          <w:sz w:val="16"/>
          <w:szCs w:val="16"/>
          <w:color w:val="auto"/>
        </w:rPr>
        <w:t xml:space="preserve"> De valuta van het fonds is USD.</w:t>
      </w:r>
      <w:r>
        <w:rPr xmlns:w="http://schemas.openxmlformats.org/wordprocessingml/2006/main">
          <w:rFonts w:ascii="Arial" w:cs="Arial" w:eastAsia="Arial" w:hAnsi="Arial"/>
          <w:sz w:val="16"/>
          <w:szCs w:val="16"/>
          <w:color w:val="auto"/>
        </w:rPr>
        <w:t xml:space="preserve"> Opbrengsten en winsten worden niet uitgekeerd, maar opnieuw in het fonds geïnvesteerd.</w:t>
      </w:r>
      <w:r>
        <w:rPr xmlns:w="http://schemas.openxmlformats.org/wordprocessingml/2006/main">
          <w:rFonts w:ascii="Arial" w:cs="Arial" w:eastAsia="Arial" w:hAnsi="Arial"/>
          <w:sz w:val="16"/>
          <w:szCs w:val="16"/>
          <w:color w:val="auto"/>
        </w:rPr>
        <w:t xml:space="preserve"> U kunt de terugbetaling van aandelen in het algemeen dagelijks aanvragen.</w:t>
      </w:r>
    </w:p>
    <w:p>
      <w:pPr>
        <w:spacing w:after="0" w:line="35" w:lineRule="exact"/>
        <w:rPr>
          <w:sz w:val="24"/>
          <w:szCs w:val="24"/>
          <w:color w:val="auto"/>
        </w:rPr>
      </w:pPr>
    </w:p>
    <w:p>
      <w:pPr>
        <w:sectPr>
          <w:pgSz w:w="11900" w:h="16838" w:orient="portrait"/>
          <w:cols w:equalWidth="0" w:num="2">
            <w:col w:w="4860" w:space="360"/>
            <w:col w:w="4800"/>
          </w:cols>
          <w:pgMar w:left="1020" w:top="626" w:right="866" w:bottom="195" w:gutter="0" w:footer="0" w:header="0"/>
          <w:type w:val="continuous"/>
        </w:sectPr>
      </w:pP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21"/>
          <w:szCs w:val="21"/>
          <w:b w:val="1"/>
          <w:bCs w:val="1"/>
          <w:color w:val="auto"/>
        </w:rPr>
        <w:t xml:space="preserve">Risico- en beloningsprofiel</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13970</wp:posOffset>
                </wp:positionH>
                <wp:positionV relativeFrom="paragraph">
                  <wp:posOffset>40005</wp:posOffset>
                </wp:positionV>
                <wp:extent cx="6396355" cy="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96355" cy="4763"/>
                        </a:xfrm>
                        <a:prstGeom prst="line">
                          <a:avLst/>
                        </a:prstGeom>
                        <a:solidFill>
                          <a:srgbClr val="FFFFFF"/>
                        </a:solidFill>
                        <a:ln w="19050">
                          <a:solidFill>
                            <a:srgbClr val="EE7203"/>
                          </a:solidFill>
                          <a:miter lim="800000"/>
                          <a:headEnd/>
                          <a:tailEnd/>
                        </a:ln>
                      </wps:spPr>
                      <wps:bodyPr/>
                    </wps:wsp>
                  </a:graphicData>
                </a:graphic>
              </wp:anchor>
            </w:drawing>
          </mc:Choice>
          <mc:Fallback>
            <w:pict>
              <v:line id="Shape 8" o:spid="_x0000_s103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1pt,3.15pt" to="504.75pt,3.15pt" o:allowincell="f" strokecolor="#EE7203" strokeweight="1.5pt"/>
            </w:pict>
          </mc:Fallback>
        </mc:AlternateContent>
      </w:r>
    </w:p>
    <w:p>
      <w:pPr>
        <w:sectPr>
          <w:pgSz w:w="11900" w:h="16838" w:orient="portrait"/>
          <w:cols w:equalWidth="0" w:num="1">
            <w:col w:w="10020"/>
          </w:cols>
          <w:pgMar w:left="1020" w:top="626" w:right="866" w:bottom="195" w:gutter="0" w:footer="0" w:header="0"/>
          <w:type w:val="continuous"/>
        </w:sectPr>
      </w:pPr>
    </w:p>
    <w:p>
      <w:pPr>
        <w:spacing w:after="0" w:line="132" w:lineRule="exact"/>
        <w:rPr>
          <w:sz w:val="24"/>
          <w:szCs w:val="24"/>
          <w:color w:val="auto"/>
        </w:rPr>
      </w:pPr>
    </w:p>
    <w:tbl>
      <w:tblPr>
        <w:tblLayout w:type="fixed"/>
        <w:tblInd w:w="110" w:type="dxa"/>
        <w:tblCellMar>
          <w:top w:w="0" w:type="dxa"/>
          <w:left w:w="0" w:type="dxa"/>
          <w:bottom w:w="0" w:type="dxa"/>
          <w:right w:w="0" w:type="dxa"/>
        </w:tblCellMar>
      </w:tblPr>
      <w:tr>
        <w:trPr>
          <w:trHeight w:val="133"/>
        </w:trPr>
        <w:tc>
          <w:tcPr>
            <w:tcW w:w="840" w:type="dxa"/>
            <w:vAlign w:val="bottom"/>
            <w:gridSpan w:val="2"/>
          </w:tcPr>
          <w:p>
            <w:pPr xmlns:w="http://schemas.openxmlformats.org/wordprocessingml/2006/main">
              <w:ind w:left="300"/>
              <w:spacing w:after="0"/>
              <w:rPr>
                <w:sz w:val="20"/>
                <w:szCs w:val="20"/>
                <w:color w:val="auto"/>
              </w:rPr>
            </w:pPr>
            <w:r>
              <w:rPr xmlns:w="http://schemas.openxmlformats.org/wordprocessingml/2006/main">
                <w:rFonts w:ascii="Arial" w:cs="Arial" w:eastAsia="Arial" w:hAnsi="Arial"/>
                <w:sz w:val="10"/>
                <w:szCs w:val="10"/>
                <w:color w:val="auto"/>
              </w:rPr>
              <w:t xml:space="preserve">Minder risico</w:t>
            </w:r>
          </w:p>
        </w:tc>
        <w:tc>
          <w:tcPr>
            <w:tcW w:w="4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80" w:type="dxa"/>
            <w:vAlign w:val="bottom"/>
            <w:gridSpan w:val="2"/>
          </w:tcPr>
          <w:p>
            <w:pPr xmlns:w="http://schemas.openxmlformats.org/wordprocessingml/2006/main">
              <w:jc w:val="right"/>
              <w:ind w:right="230"/>
              <w:spacing w:after="0"/>
              <w:rPr>
                <w:sz w:val="20"/>
                <w:szCs w:val="20"/>
                <w:color w:val="auto"/>
              </w:rPr>
            </w:pPr>
            <w:r>
              <w:rPr xmlns:w="http://schemas.openxmlformats.org/wordprocessingml/2006/main">
                <w:rFonts w:ascii="Arial" w:cs="Arial" w:eastAsia="Arial" w:hAnsi="Arial"/>
                <w:sz w:val="10"/>
                <w:szCs w:val="10"/>
                <w:color w:val="auto"/>
              </w:rPr>
              <w:t xml:space="preserve">Hoger risico</w:t>
            </w:r>
          </w:p>
        </w:tc>
      </w:tr>
      <w:tr>
        <w:trPr>
          <w:trHeight w:val="322"/>
        </w:trPr>
        <w:tc>
          <w:tcPr>
            <w:tcW w:w="1480" w:type="dxa"/>
            <w:vAlign w:val="bottom"/>
            <w:gridSpan w:val="4"/>
          </w:tcPr>
          <w:p>
            <w:pPr xmlns:w="http://schemas.openxmlformats.org/wordprocessingml/2006/main">
              <w:ind w:left="300"/>
              <w:spacing w:after="0"/>
              <w:rPr>
                <w:sz w:val="20"/>
                <w:szCs w:val="20"/>
                <w:color w:val="auto"/>
              </w:rPr>
            </w:pPr>
            <w:r>
              <w:rPr xmlns:w="http://schemas.openxmlformats.org/wordprocessingml/2006/main">
                <w:rFonts w:ascii="Arial" w:cs="Arial" w:eastAsia="Arial" w:hAnsi="Arial"/>
                <w:sz w:val="10"/>
                <w:szCs w:val="10"/>
                <w:color w:val="auto"/>
              </w:rPr>
              <w:t xml:space="preserve">Potentieel lagere beloning</w:t>
            </w:r>
          </w:p>
        </w:tc>
        <w:tc>
          <w:tcPr>
            <w:tcW w:w="54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500" w:type="dxa"/>
            <w:vAlign w:val="bottom"/>
            <w:gridSpan w:val="4"/>
          </w:tcPr>
          <w:p>
            <w:pPr xmlns:w="http://schemas.openxmlformats.org/wordprocessingml/2006/main">
              <w:jc w:val="right"/>
              <w:ind w:right="230"/>
              <w:spacing w:after="0"/>
              <w:rPr>
                <w:sz w:val="20"/>
                <w:szCs w:val="20"/>
                <w:color w:val="auto"/>
              </w:rPr>
            </w:pPr>
            <w:r>
              <w:rPr xmlns:w="http://schemas.openxmlformats.org/wordprocessingml/2006/main">
                <w:rFonts w:ascii="Arial" w:cs="Arial" w:eastAsia="Arial" w:hAnsi="Arial"/>
                <w:sz w:val="10"/>
                <w:szCs w:val="10"/>
                <w:color w:val="auto"/>
              </w:rPr>
              <w:t xml:space="preserve">Potentieel hogere beloning</w:t>
            </w:r>
          </w:p>
        </w:tc>
      </w:tr>
      <w:tr>
        <w:trPr>
          <w:trHeight w:val="44"/>
        </w:trPr>
        <w:tc>
          <w:tcPr>
            <w:tcW w:w="620" w:type="dxa"/>
            <w:vAlign w:val="bottom"/>
            <w:tcBorders>
              <w:bottom w:val="single" w:sz="8" w:color="auto"/>
            </w:tcBorders>
          </w:tcPr>
          <w:p>
            <w:pPr>
              <w:spacing w:after="0"/>
              <w:rPr>
                <w:sz w:val="3"/>
                <w:szCs w:val="3"/>
                <w:color w:val="auto"/>
              </w:rPr>
            </w:pPr>
          </w:p>
        </w:tc>
        <w:tc>
          <w:tcPr>
            <w:tcW w:w="220" w:type="dxa"/>
            <w:vAlign w:val="bottom"/>
            <w:tcBorders>
              <w:bottom w:val="single" w:sz="8" w:color="auto"/>
            </w:tcBorders>
          </w:tcPr>
          <w:p>
            <w:pPr>
              <w:spacing w:after="0"/>
              <w:rPr>
                <w:sz w:val="3"/>
                <w:szCs w:val="3"/>
                <w:color w:val="auto"/>
              </w:rPr>
            </w:pPr>
          </w:p>
        </w:tc>
        <w:tc>
          <w:tcPr>
            <w:tcW w:w="480" w:type="dxa"/>
            <w:vAlign w:val="bottom"/>
            <w:tcBorders>
              <w:bottom w:val="single" w:sz="8" w:color="auto"/>
            </w:tcBorders>
          </w:tcPr>
          <w:p>
            <w:pPr>
              <w:spacing w:after="0"/>
              <w:rPr>
                <w:sz w:val="3"/>
                <w:szCs w:val="3"/>
                <w:color w:val="auto"/>
              </w:rPr>
            </w:pPr>
          </w:p>
        </w:tc>
        <w:tc>
          <w:tcPr>
            <w:tcW w:w="160" w:type="dxa"/>
            <w:vAlign w:val="bottom"/>
            <w:tcBorders>
              <w:bottom w:val="single" w:sz="8" w:color="auto"/>
            </w:tcBorders>
          </w:tcPr>
          <w:p>
            <w:pPr>
              <w:spacing w:after="0"/>
              <w:rPr>
                <w:sz w:val="3"/>
                <w:szCs w:val="3"/>
                <w:color w:val="auto"/>
              </w:rPr>
            </w:pPr>
          </w:p>
        </w:tc>
        <w:tc>
          <w:tcPr>
            <w:tcW w:w="540" w:type="dxa"/>
            <w:vAlign w:val="bottom"/>
            <w:tcBorders>
              <w:bottom w:val="single" w:sz="8" w:color="auto"/>
            </w:tcBorders>
          </w:tcPr>
          <w:p>
            <w:pPr>
              <w:spacing w:after="0"/>
              <w:rPr>
                <w:sz w:val="3"/>
                <w:szCs w:val="3"/>
                <w:color w:val="auto"/>
              </w:rPr>
            </w:pPr>
          </w:p>
        </w:tc>
        <w:tc>
          <w:tcPr>
            <w:tcW w:w="660" w:type="dxa"/>
            <w:vAlign w:val="bottom"/>
            <w:tcBorders>
              <w:bottom w:val="single" w:sz="8" w:color="auto"/>
            </w:tcBorders>
          </w:tcPr>
          <w:p>
            <w:pPr>
              <w:spacing w:after="0"/>
              <w:rPr>
                <w:sz w:val="3"/>
                <w:szCs w:val="3"/>
                <w:color w:val="auto"/>
              </w:rPr>
            </w:pPr>
          </w:p>
        </w:tc>
        <w:tc>
          <w:tcPr>
            <w:tcW w:w="460" w:type="dxa"/>
            <w:vAlign w:val="bottom"/>
            <w:tcBorders>
              <w:bottom w:val="single" w:sz="8" w:color="auto"/>
            </w:tcBorders>
          </w:tcPr>
          <w:p>
            <w:pPr>
              <w:spacing w:after="0"/>
              <w:rPr>
                <w:sz w:val="3"/>
                <w:szCs w:val="3"/>
                <w:color w:val="auto"/>
              </w:rPr>
            </w:pPr>
          </w:p>
        </w:tc>
        <w:tc>
          <w:tcPr>
            <w:tcW w:w="180" w:type="dxa"/>
            <w:vAlign w:val="bottom"/>
            <w:tcBorders>
              <w:bottom w:val="single" w:sz="8" w:color="auto"/>
            </w:tcBorders>
          </w:tcPr>
          <w:p>
            <w:pPr>
              <w:spacing w:after="0"/>
              <w:rPr>
                <w:sz w:val="3"/>
                <w:szCs w:val="3"/>
                <w:color w:val="auto"/>
              </w:rPr>
            </w:pPr>
          </w:p>
        </w:tc>
        <w:tc>
          <w:tcPr>
            <w:tcW w:w="440" w:type="dxa"/>
            <w:vAlign w:val="bottom"/>
            <w:tcBorders>
              <w:bottom w:val="single" w:sz="8" w:color="auto"/>
            </w:tcBorders>
          </w:tcPr>
          <w:p>
            <w:pPr>
              <w:spacing w:after="0"/>
              <w:rPr>
                <w:sz w:val="3"/>
                <w:szCs w:val="3"/>
                <w:color w:val="auto"/>
              </w:rPr>
            </w:pPr>
          </w:p>
        </w:tc>
        <w:tc>
          <w:tcPr>
            <w:tcW w:w="220" w:type="dxa"/>
            <w:vAlign w:val="bottom"/>
            <w:tcBorders>
              <w:bottom w:val="single" w:sz="8" w:color="auto"/>
            </w:tcBorders>
          </w:tcPr>
          <w:p>
            <w:pPr>
              <w:spacing w:after="0"/>
              <w:rPr>
                <w:sz w:val="3"/>
                <w:szCs w:val="3"/>
                <w:color w:val="auto"/>
              </w:rPr>
            </w:pPr>
          </w:p>
        </w:tc>
        <w:tc>
          <w:tcPr>
            <w:tcW w:w="680" w:type="dxa"/>
            <w:vAlign w:val="bottom"/>
            <w:tcBorders>
              <w:bottom w:val="single" w:sz="8" w:color="auto"/>
            </w:tcBorders>
          </w:tcPr>
          <w:p>
            <w:pPr>
              <w:spacing w:after="0"/>
              <w:rPr>
                <w:sz w:val="3"/>
                <w:szCs w:val="3"/>
                <w:color w:val="auto"/>
              </w:rPr>
            </w:pPr>
          </w:p>
        </w:tc>
      </w:tr>
      <w:tr>
        <w:trPr>
          <w:trHeight w:val="210"/>
        </w:trPr>
        <w:tc>
          <w:tcPr>
            <w:tcW w:w="620" w:type="dxa"/>
            <w:vAlign w:val="bottom"/>
            <w:tcBorders>
              <w:left w:val="single" w:sz="8" w:color="auto"/>
              <w:bottom w:val="single" w:sz="8" w:color="auto"/>
              <w:right w:val="single" w:sz="8" w:color="auto"/>
            </w:tcBorders>
          </w:tcPr>
          <w:p>
            <w:pPr xmlns:w="http://schemas.openxmlformats.org/wordprocessingml/2006/main">
              <w:jc w:val="right"/>
              <w:ind w:right="197"/>
              <w:spacing w:after="0" w:line="210" w:lineRule="exact"/>
              <w:rPr>
                <w:sz w:val="20"/>
                <w:szCs w:val="20"/>
                <w:color w:val="auto"/>
              </w:rPr>
            </w:pPr>
            <w:r>
              <w:rPr xmlns:w="http://schemas.openxmlformats.org/wordprocessingml/2006/main">
                <w:rFonts w:ascii="Calibri" w:cs="Calibri" w:eastAsia="Calibri" w:hAnsi="Calibri"/>
                <w:sz w:val="18"/>
                <w:szCs w:val="18"/>
                <w:color w:val="auto"/>
              </w:rPr>
              <w:t xml:space="preserve">1</w:t>
            </w:r>
          </w:p>
        </w:tc>
        <w:tc>
          <w:tcPr>
            <w:tcW w:w="220" w:type="dxa"/>
            <w:vAlign w:val="bottom"/>
            <w:tcBorders>
              <w:bottom w:val="single" w:sz="8" w:color="auto"/>
            </w:tcBorders>
          </w:tcPr>
          <w:p>
            <w:pPr>
              <w:spacing w:after="0"/>
              <w:rPr>
                <w:sz w:val="18"/>
                <w:szCs w:val="18"/>
                <w:color w:val="auto"/>
              </w:rPr>
            </w:pPr>
          </w:p>
        </w:tc>
        <w:tc>
          <w:tcPr>
            <w:tcW w:w="480" w:type="dxa"/>
            <w:vAlign w:val="bottom"/>
            <w:tcBorders>
              <w:bottom w:val="single" w:sz="8" w:color="auto"/>
              <w:right w:val="single" w:sz="8" w:color="auto"/>
            </w:tcBorders>
          </w:tcPr>
          <w:p>
            <w:pPr xmlns:w="http://schemas.openxmlformats.org/wordprocessingml/2006/main">
              <w:jc w:val="right"/>
              <w:ind w:right="230"/>
              <w:spacing w:after="0" w:line="210" w:lineRule="exact"/>
              <w:rPr>
                <w:sz w:val="20"/>
                <w:szCs w:val="20"/>
                <w:color w:val="auto"/>
              </w:rPr>
            </w:pPr>
            <w:r>
              <w:rPr xmlns:w="http://schemas.openxmlformats.org/wordprocessingml/2006/main">
                <w:rFonts w:ascii="Calibri" w:cs="Calibri" w:eastAsia="Calibri" w:hAnsi="Calibri"/>
                <w:sz w:val="18"/>
                <w:szCs w:val="18"/>
                <w:color w:val="auto"/>
              </w:rPr>
              <w:t xml:space="preserve">2</w:t>
            </w:r>
          </w:p>
        </w:tc>
        <w:tc>
          <w:tcPr>
            <w:tcW w:w="160" w:type="dxa"/>
            <w:vAlign w:val="bottom"/>
            <w:tcBorders>
              <w:bottom w:val="single" w:sz="8" w:color="auto"/>
            </w:tcBorders>
          </w:tcPr>
          <w:p>
            <w:pPr>
              <w:spacing w:after="0"/>
              <w:rPr>
                <w:sz w:val="18"/>
                <w:szCs w:val="18"/>
                <w:color w:val="auto"/>
              </w:rPr>
            </w:pPr>
          </w:p>
        </w:tc>
        <w:tc>
          <w:tcPr>
            <w:tcW w:w="540" w:type="dxa"/>
            <w:vAlign w:val="bottom"/>
            <w:tcBorders>
              <w:bottom w:val="single" w:sz="8" w:color="auto"/>
              <w:right w:val="single" w:sz="8" w:color="auto"/>
            </w:tcBorders>
          </w:tcPr>
          <w:p>
            <w:pPr xmlns:w="http://schemas.openxmlformats.org/wordprocessingml/2006/main">
              <w:jc w:val="right"/>
              <w:ind w:right="230"/>
              <w:spacing w:after="0" w:line="210" w:lineRule="exact"/>
              <w:rPr>
                <w:sz w:val="20"/>
                <w:szCs w:val="20"/>
                <w:color w:val="auto"/>
              </w:rPr>
            </w:pPr>
            <w:r>
              <w:rPr xmlns:w="http://schemas.openxmlformats.org/wordprocessingml/2006/main">
                <w:rFonts w:ascii="Calibri" w:cs="Calibri" w:eastAsia="Calibri" w:hAnsi="Calibri"/>
                <w:sz w:val="18"/>
                <w:szCs w:val="18"/>
                <w:color w:val="auto"/>
              </w:rPr>
              <w:t xml:space="preserve">3</w:t>
            </w:r>
          </w:p>
        </w:tc>
        <w:tc>
          <w:tcPr>
            <w:tcW w:w="660" w:type="dxa"/>
            <w:vAlign w:val="bottom"/>
            <w:tcBorders>
              <w:bottom w:val="single" w:sz="8" w:color="auto"/>
              <w:right w:val="single" w:sz="8" w:color="auto"/>
            </w:tcBorders>
          </w:tcPr>
          <w:p>
            <w:pPr xmlns:w="http://schemas.openxmlformats.org/wordprocessingml/2006/main">
              <w:jc w:val="right"/>
              <w:ind w:right="210"/>
              <w:spacing w:after="0" w:line="210" w:lineRule="exact"/>
              <w:rPr>
                <w:sz w:val="20"/>
                <w:szCs w:val="20"/>
                <w:color w:val="auto"/>
              </w:rPr>
            </w:pPr>
            <w:r>
              <w:rPr xmlns:w="http://schemas.openxmlformats.org/wordprocessingml/2006/main">
                <w:rFonts w:ascii="Calibri" w:cs="Calibri" w:eastAsia="Calibri" w:hAnsi="Calibri"/>
                <w:sz w:val="18"/>
                <w:szCs w:val="18"/>
                <w:color w:val="auto"/>
              </w:rPr>
              <w:t xml:space="preserve">4</w:t>
            </w:r>
          </w:p>
        </w:tc>
        <w:tc>
          <w:tcPr>
            <w:tcW w:w="460" w:type="dxa"/>
            <w:vAlign w:val="bottom"/>
            <w:tcBorders>
              <w:bottom w:val="single" w:sz="8" w:color="auto"/>
            </w:tcBorders>
          </w:tcPr>
          <w:p>
            <w:pPr xmlns:w="http://schemas.openxmlformats.org/wordprocessingml/2006/main">
              <w:jc w:val="right"/>
              <w:ind w:right="10"/>
              <w:spacing w:after="0" w:line="210" w:lineRule="exact"/>
              <w:rPr>
                <w:sz w:val="20"/>
                <w:szCs w:val="20"/>
                <w:color w:val="auto"/>
              </w:rPr>
            </w:pPr>
            <w:r>
              <w:rPr xmlns:w="http://schemas.openxmlformats.org/wordprocessingml/2006/main">
                <w:rFonts w:ascii="Calibri" w:cs="Calibri" w:eastAsia="Calibri" w:hAnsi="Calibri"/>
                <w:sz w:val="18"/>
                <w:szCs w:val="18"/>
                <w:color w:val="auto"/>
              </w:rPr>
              <w:t xml:space="preserve">5</w:t>
            </w:r>
          </w:p>
        </w:tc>
        <w:tc>
          <w:tcPr>
            <w:tcW w:w="180" w:type="dxa"/>
            <w:vAlign w:val="bottom"/>
            <w:tcBorders>
              <w:bottom w:val="single" w:sz="8" w:color="auto"/>
              <w:right w:val="single" w:sz="8" w:color="auto"/>
            </w:tcBorders>
          </w:tcPr>
          <w:p>
            <w:pPr>
              <w:spacing w:after="0"/>
              <w:rPr>
                <w:sz w:val="18"/>
                <w:szCs w:val="18"/>
                <w:color w:val="auto"/>
              </w:rPr>
            </w:pPr>
          </w:p>
        </w:tc>
        <w:tc>
          <w:tcPr>
            <w:tcW w:w="440" w:type="dxa"/>
            <w:vAlign w:val="bottom"/>
            <w:tcBorders>
              <w:bottom w:val="single" w:sz="8" w:color="auto"/>
            </w:tcBorders>
          </w:tcPr>
          <w:p>
            <w:pPr xmlns:w="http://schemas.openxmlformats.org/wordprocessingml/2006/main">
              <w:jc w:val="right"/>
              <w:spacing w:after="0" w:line="210" w:lineRule="exact"/>
              <w:rPr>
                <w:sz w:val="20"/>
                <w:szCs w:val="20"/>
                <w:color w:val="auto"/>
              </w:rPr>
            </w:pPr>
            <w:r>
              <w:rPr xmlns:w="http://schemas.openxmlformats.org/wordprocessingml/2006/main">
                <w:rFonts w:ascii="Calibri" w:cs="Calibri" w:eastAsia="Calibri" w:hAnsi="Calibri"/>
                <w:sz w:val="18"/>
                <w:szCs w:val="18"/>
                <w:color w:val="auto"/>
              </w:rPr>
              <w:t xml:space="preserve">6</w:t>
            </w:r>
          </w:p>
        </w:tc>
        <w:tc>
          <w:tcPr>
            <w:tcW w:w="220" w:type="dxa"/>
            <w:vAlign w:val="bottom"/>
            <w:tcBorders>
              <w:bottom w:val="single" w:sz="8" w:color="auto"/>
              <w:right w:val="single" w:sz="8" w:color="auto"/>
            </w:tcBorders>
          </w:tcPr>
          <w:p>
            <w:pPr>
              <w:spacing w:after="0"/>
              <w:rPr>
                <w:sz w:val="18"/>
                <w:szCs w:val="18"/>
                <w:color w:val="auto"/>
              </w:rPr>
            </w:pPr>
          </w:p>
        </w:tc>
        <w:tc>
          <w:tcPr>
            <w:tcW w:w="680" w:type="dxa"/>
            <w:vAlign w:val="bottom"/>
            <w:tcBorders>
              <w:bottom w:val="single" w:sz="8" w:color="auto"/>
              <w:right w:val="single" w:sz="8" w:color="auto"/>
            </w:tcBorders>
          </w:tcPr>
          <w:p>
            <w:pPr xmlns:w="http://schemas.openxmlformats.org/wordprocessingml/2006/main">
              <w:jc w:val="right"/>
              <w:ind w:right="210"/>
              <w:spacing w:after="0" w:line="210" w:lineRule="exact"/>
              <w:rPr>
                <w:sz w:val="20"/>
                <w:szCs w:val="20"/>
                <w:color w:val="auto"/>
              </w:rPr>
            </w:pPr>
            <w:r>
              <w:rPr xmlns:w="http://schemas.openxmlformats.org/wordprocessingml/2006/main">
                <w:rFonts w:ascii="Calibri" w:cs="Calibri" w:eastAsia="Calibri" w:hAnsi="Calibri"/>
                <w:sz w:val="18"/>
                <w:szCs w:val="18"/>
                <w:color w:val="auto"/>
              </w:rPr>
              <w:t xml:space="preserve">7</w:t>
            </w: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2170430</wp:posOffset>
            </wp:positionH>
            <wp:positionV relativeFrom="paragraph">
              <wp:posOffset>-145415</wp:posOffset>
            </wp:positionV>
            <wp:extent cx="407035" cy="13970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407035" cy="139700"/>
                    </a:xfrm>
                    <a:prstGeom prst="rect">
                      <a:avLst/>
                    </a:prstGeom>
                    <a:noFill/>
                  </pic:spPr>
                </pic:pic>
              </a:graphicData>
            </a:graphic>
          </wp:anchor>
        </w:drawing>
        <w:drawing>
          <wp:anchor simplePos="0" relativeHeight="251657728" behindDoc="1" locked="0" layoutInCell="0" allowOverlap="1">
            <wp:simplePos x="0" y="0"/>
            <wp:positionH relativeFrom="column">
              <wp:posOffset>2881630</wp:posOffset>
            </wp:positionH>
            <wp:positionV relativeFrom="paragraph">
              <wp:posOffset>-385445</wp:posOffset>
            </wp:positionV>
            <wp:extent cx="121920" cy="11366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21920" cy="113665"/>
                    </a:xfrm>
                    <a:prstGeom prst="rect">
                      <a:avLst/>
                    </a:prstGeom>
                    <a:noFill/>
                  </pic:spPr>
                </pic:pic>
              </a:graphicData>
            </a:graphic>
          </wp:anchor>
        </w:drawing>
        <w:drawing>
          <wp:anchor simplePos="0" relativeHeight="251657728" behindDoc="1" locked="0" layoutInCell="0" allowOverlap="1">
            <wp:simplePos x="0" y="0"/>
            <wp:positionH relativeFrom="column">
              <wp:posOffset>71755</wp:posOffset>
            </wp:positionH>
            <wp:positionV relativeFrom="paragraph">
              <wp:posOffset>-384810</wp:posOffset>
            </wp:positionV>
            <wp:extent cx="121920" cy="11366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21920" cy="113665"/>
                    </a:xfrm>
                    <a:prstGeom prst="rect">
                      <a:avLst/>
                    </a:prstGeom>
                    <a:noFill/>
                  </pic:spPr>
                </pic:pic>
              </a:graphicData>
            </a:graphic>
          </wp:anchor>
        </w:drawing>
        <w:drawing>
          <wp:anchor simplePos="0" relativeHeight="251657728" behindDoc="1" locked="0" layoutInCell="0" allowOverlap="1">
            <wp:simplePos x="0" y="0"/>
            <wp:positionH relativeFrom="column">
              <wp:posOffset>920750</wp:posOffset>
            </wp:positionH>
            <wp:positionV relativeFrom="paragraph">
              <wp:posOffset>-332740</wp:posOffset>
            </wp:positionV>
            <wp:extent cx="1154430" cy="1270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1154430" cy="12700"/>
                    </a:xfrm>
                    <a:prstGeom prst="rect">
                      <a:avLst/>
                    </a:prstGeom>
                    <a:noFill/>
                  </pic:spPr>
                </pic:pic>
              </a:graphicData>
            </a:graphic>
          </wp:anchor>
        </w:drawing>
      </w:r>
    </w:p>
    <w:p>
      <w:pPr>
        <w:spacing w:after="0" w:line="176" w:lineRule="exact"/>
        <w:rPr>
          <w:sz w:val="24"/>
          <w:szCs w:val="24"/>
          <w:color w:val="auto"/>
        </w:rPr>
      </w:pPr>
    </w:p>
    <w:p>
      <w:pPr xmlns:w="http://schemas.openxmlformats.org/wordprocessingml/2006/main">
        <w:jc w:val="both"/>
        <w:ind w:left="60"/>
        <w:spacing w:after="0" w:line="241" w:lineRule="auto"/>
        <w:rPr>
          <w:sz w:val="20"/>
          <w:szCs w:val="20"/>
          <w:color w:val="auto"/>
        </w:rPr>
      </w:pPr>
      <w:r>
        <w:rPr xmlns:w="http://schemas.openxmlformats.org/wordprocessingml/2006/main">
          <w:rFonts w:ascii="Arial" w:cs="Arial" w:eastAsia="Arial" w:hAnsi="Arial"/>
          <w:sz w:val="16"/>
          <w:szCs w:val="16"/>
          <w:color w:val="auto"/>
        </w:rPr>
        <w:t xml:space="preserve">De berekening van het risico- en beloningsprofiel is gebaseerd op gesimuleerde gegevens die niet kunnen worden gebruikt als betrouwbare indicator voor het toekomstige risicoprofiel.</w:t>
      </w:r>
      <w:r>
        <w:rPr xmlns:w="http://schemas.openxmlformats.org/wordprocessingml/2006/main">
          <w:rFonts w:ascii="Arial" w:cs="Arial" w:eastAsia="Arial" w:hAnsi="Arial"/>
          <w:sz w:val="16"/>
          <w:szCs w:val="16"/>
          <w:color w:val="auto"/>
        </w:rPr>
        <w:t xml:space="preserve"> Deze risico-indicator is onderhevig aan veranderingen; de classificatie van het fonds kan in de loop van de tijd veranderen en kan niet worden gegarandeerd.</w:t>
      </w:r>
      <w:r>
        <w:rPr xmlns:w="http://schemas.openxmlformats.org/wordprocessingml/2006/main">
          <w:rFonts w:ascii="Arial" w:cs="Arial" w:eastAsia="Arial" w:hAnsi="Arial"/>
          <w:sz w:val="16"/>
          <w:szCs w:val="16"/>
          <w:color w:val="auto"/>
        </w:rPr>
        <w:t xml:space="preserve"> Zelfs een fonds dat is ingedeeld in de laagste categorie (categorie 1) vormt geen volledig risicovrije belegging.</w:t>
      </w:r>
      <w:r>
        <w:rPr xmlns:w="http://schemas.openxmlformats.org/wordprocessingml/2006/main">
          <w:rFonts w:ascii="Arial" w:cs="Arial" w:eastAsia="Arial" w:hAnsi="Arial"/>
          <w:sz w:val="16"/>
          <w:szCs w:val="16"/>
          <w:color w:val="auto"/>
        </w:rPr>
        <w:t xml:space="preserve"> Het fonds is ingedeeld in categorie 6 omdat de koers van het aandeel sterk kan fluctueren en de kans op zowel verliezen als winsten dus groot kan zijn.</w:t>
      </w:r>
      <w:r>
        <w:rPr xmlns:w="http://schemas.openxmlformats.org/wordprocessingml/2006/main">
          <w:rFonts w:ascii="Arial" w:cs="Arial" w:eastAsia="Arial" w:hAnsi="Arial"/>
          <w:sz w:val="16"/>
          <w:szCs w:val="16"/>
          <w:color w:val="auto"/>
        </w:rPr>
        <w:t xml:space="preserve"> De volgende risico's kunnen van bijzonder belang zijn voor het fonds: het fonds zal proberen de prestaties van de index te repliceren zonder kosten, maar uw investering zal naar verwachting niet precies overeenkomen met de prestaties van de index.</w:t>
      </w:r>
      <w:r>
        <w:rPr xmlns:w="http://schemas.openxmlformats.org/wordprocessingml/2006/main">
          <w:rFonts w:ascii="Arial" w:cs="Arial" w:eastAsia="Arial" w:hAnsi="Arial"/>
          <w:sz w:val="16"/>
          <w:szCs w:val="16"/>
          <w:color w:val="auto"/>
        </w:rPr>
        <w:t xml:space="preserve"> Uitzonderlijke omstandigheden kunnen zich voordoen, zoals, maar niet beperkt tot, verstorende marktomstandigheden, extra kosten/belastingen of extreem volatiele markten, waardoor de prestaties van het fonds aanzienlijk kunnen verschillen van de prestaties van de index.</w:t>
      </w:r>
      <w:r>
        <w:rPr xmlns:w="http://schemas.openxmlformats.org/wordprocessingml/2006/main">
          <w:rFonts w:ascii="Arial" w:cs="Arial" w:eastAsia="Arial" w:hAnsi="Arial"/>
          <w:sz w:val="16"/>
          <w:szCs w:val="16"/>
          <w:color w:val="auto"/>
        </w:rPr>
        <w:t xml:space="preserve"> DWS-entiteiten en verwante bedrijven kunnen in verschillende rollen met betrekking tot het fonds optreden, zoals distributeur en beheermaatschappij, waarbij belangenconflicten kunnen optreden.</w:t>
      </w:r>
      <w:r>
        <w:rPr xmlns:w="http://schemas.openxmlformats.org/wordprocessingml/2006/main">
          <w:rFonts w:ascii="Arial" w:cs="Arial" w:eastAsia="Arial" w:hAnsi="Arial"/>
          <w:sz w:val="16"/>
          <w:szCs w:val="16"/>
          <w:color w:val="auto"/>
        </w:rPr>
        <w:t xml:space="preserve"> Het fonds is niet gegarandeerd en uw investering is in gevaar.</w:t>
      </w:r>
      <w:r>
        <w:rPr xmlns:w="http://schemas.openxmlformats.org/wordprocessingml/2006/main">
          <w:rFonts w:ascii="Arial" w:cs="Arial" w:eastAsia="Arial" w:hAnsi="Arial"/>
          <w:sz w:val="16"/>
          <w:szCs w:val="16"/>
          <w:color w:val="auto"/>
        </w:rPr>
        <w:t xml:space="preserve"> De waarde van uw investering kan zowel dalen als stijgen.</w:t>
      </w:r>
      <w:r>
        <w:rPr xmlns:w="http://schemas.openxmlformats.org/wordprocessingml/2006/main">
          <w:rFonts w:ascii="Arial" w:cs="Arial" w:eastAsia="Arial" w:hAnsi="Arial"/>
          <w:sz w:val="16"/>
          <w:szCs w:val="16"/>
          <w:color w:val="auto"/>
        </w:rPr>
        <w:t xml:space="preserve"> De waarde van een belegging in aandelen hangt af van een aantal factoren, waaronder, maar niet beperkt tot, markt- en economische omstandigheden, sector, geografische regio en politieke gebeurtenissen.</w:t>
      </w:r>
      <w:r>
        <w:rPr xmlns:w="http://schemas.openxmlformats.org/wordprocessingml/2006/main">
          <w:rFonts w:ascii="Arial" w:cs="Arial" w:eastAsia="Arial" w:hAnsi="Arial"/>
          <w:sz w:val="16"/>
          <w:szCs w:val="16"/>
          <w:color w:val="auto"/>
        </w:rPr>
        <w:t xml:space="preserve"> Het fonds richt zich op één of een beperkt aantal sectoren, sectoren of soorten</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08" w:lineRule="exact"/>
        <w:rPr>
          <w:sz w:val="24"/>
          <w:szCs w:val="24"/>
          <w:color w:val="auto"/>
        </w:rPr>
      </w:pPr>
    </w:p>
    <w:p>
      <w:pPr xmlns:w="http://schemas.openxmlformats.org/wordprocessingml/2006/main">
        <w:jc w:val="both"/>
        <w:ind w:right="40"/>
        <w:spacing w:after="0"/>
        <w:rPr>
          <w:sz w:val="20"/>
          <w:szCs w:val="20"/>
          <w:color w:val="auto"/>
        </w:rPr>
      </w:pPr>
      <w:r>
        <w:rPr xmlns:w="http://schemas.openxmlformats.org/wordprocessingml/2006/main">
          <w:rFonts w:ascii="Arial" w:cs="Arial" w:eastAsia="Arial" w:hAnsi="Arial"/>
          <w:sz w:val="16"/>
          <w:szCs w:val="16"/>
          <w:color w:val="auto"/>
        </w:rPr>
        <w:t xml:space="preserve">Bedrijven en prestaties weerspiegelen mogelijk geen stijging in bredere markten.</w:t>
      </w:r>
      <w:r>
        <w:rPr xmlns:w="http://schemas.openxmlformats.org/wordprocessingml/2006/main">
          <w:rFonts w:ascii="Arial" w:cs="Arial" w:eastAsia="Arial" w:hAnsi="Arial"/>
          <w:sz w:val="16"/>
          <w:szCs w:val="16"/>
          <w:color w:val="auto"/>
        </w:rPr>
        <w:t xml:space="preserve"> De ESG-screeningcriteria zijn ingebed in het indexselectieproces, dat tot doel heeft effecten uit te sluiten die zijn uitgegeven door bedrijven die betrokken zijn bij bepaalde activiteiten.</w:t>
      </w:r>
      <w:r>
        <w:rPr xmlns:w="http://schemas.openxmlformats.org/wordprocessingml/2006/main">
          <w:rFonts w:ascii="Arial" w:cs="Arial" w:eastAsia="Arial" w:hAnsi="Arial"/>
          <w:sz w:val="16"/>
          <w:szCs w:val="16"/>
          <w:color w:val="auto"/>
        </w:rPr>
        <w:t xml:space="preserve"> De beleggingsbeheerder en subportefeuillebeheerder zijn niet verantwoordelijk voor het toezicht op het screeningproces of voor de bevestiging dat alle effecten die door het screeningproces komen, zijn uitgegeven door bedrijven met adequate ESG-normen.</w:t>
      </w:r>
      <w:r>
        <w:rPr xmlns:w="http://schemas.openxmlformats.org/wordprocessingml/2006/main">
          <w:rFonts w:ascii="Arial" w:cs="Arial" w:eastAsia="Arial" w:hAnsi="Arial"/>
          <w:sz w:val="16"/>
          <w:szCs w:val="16"/>
          <w:color w:val="auto"/>
        </w:rPr>
        <w:t xml:space="preserve"> Het bedrijf vertrouwt uitsluitend op de activiteiten die worden uitgevoerd door en de informatie die wordt verstrekt door de beheerder van de index of andere gegevensaanbieders voor de ESG-screening.</w:t>
      </w:r>
      <w:r>
        <w:rPr xmlns:w="http://schemas.openxmlformats.org/wordprocessingml/2006/main">
          <w:rFonts w:ascii="Arial" w:cs="Arial" w:eastAsia="Arial" w:hAnsi="Arial"/>
          <w:sz w:val="16"/>
          <w:szCs w:val="16"/>
          <w:color w:val="auto"/>
        </w:rPr>
        <w:t xml:space="preserve"> ESG-informatie van externe gegevensproviders kan onvolledig, onnauwkeurig of niet beschikbaar zijn.</w:t>
      </w:r>
      <w:r>
        <w:rPr xmlns:w="http://schemas.openxmlformats.org/wordprocessingml/2006/main">
          <w:rFonts w:ascii="Arial" w:cs="Arial" w:eastAsia="Arial" w:hAnsi="Arial"/>
          <w:sz w:val="16"/>
          <w:szCs w:val="16"/>
          <w:color w:val="auto"/>
        </w:rPr>
        <w:t xml:space="preserve"> Als gevolg daarvan bestaat het risico dat de indexbeheerder een effect of emittent onjuist beoordeelt, waardoor een effect onjuist in de index wordt opgenomen of uitgesloten.</w:t>
      </w:r>
      <w:r>
        <w:rPr xmlns:w="http://schemas.openxmlformats.org/wordprocessingml/2006/main">
          <w:rFonts w:ascii="Arial" w:cs="Arial" w:eastAsia="Arial" w:hAnsi="Arial"/>
          <w:sz w:val="16"/>
          <w:szCs w:val="16"/>
          <w:color w:val="auto"/>
        </w:rPr>
        <w:t xml:space="preserve"> Het fonds is blootgesteld aan minder economisch ontwikkelde economieën (bekend als opkomende markten) die grotere risico's met zich meebrengen dan goed ontwikkelde economieën.</w:t>
      </w:r>
      <w:r>
        <w:rPr xmlns:w="http://schemas.openxmlformats.org/wordprocessingml/2006/main">
          <w:rFonts w:ascii="Arial" w:cs="Arial" w:eastAsia="Arial" w:hAnsi="Arial"/>
          <w:sz w:val="16"/>
          <w:szCs w:val="16"/>
          <w:color w:val="auto"/>
        </w:rPr>
        <w:t xml:space="preserve"> Politieke onrust en economische neergang kunnen waarschijnlijker zijn en zullen de waarde van uw investering beïnvloeden.</w:t>
      </w:r>
      <w:r>
        <w:rPr xmlns:w="http://schemas.openxmlformats.org/wordprocessingml/2006/main">
          <w:rFonts w:ascii="Arial" w:cs="Arial" w:eastAsia="Arial" w:hAnsi="Arial"/>
          <w:sz w:val="16"/>
          <w:szCs w:val="16"/>
          <w:color w:val="auto"/>
        </w:rPr>
        <w:t xml:space="preserve"> De index is op regels gebaseerd en kan niet worden aangepast aan veranderende marktomstandigheden.</w:t>
      </w:r>
      <w:r>
        <w:rPr xmlns:w="http://schemas.openxmlformats.org/wordprocessingml/2006/main">
          <w:rFonts w:ascii="Arial" w:cs="Arial" w:eastAsia="Arial" w:hAnsi="Arial"/>
          <w:sz w:val="16"/>
          <w:szCs w:val="16"/>
          <w:color w:val="auto"/>
        </w:rPr>
        <w:t xml:space="preserve"> Als gevolg hiervan kunt u negatief worden beïnvloed door, of misschien niet profiteren van, het ontbreken van dergelijke aanpassingen in veranderende marktomstandigheden.</w:t>
      </w:r>
      <w:r>
        <w:rPr xmlns:w="http://schemas.openxmlformats.org/wordprocessingml/2006/main">
          <w:rFonts w:ascii="Arial" w:cs="Arial" w:eastAsia="Arial" w:hAnsi="Arial"/>
          <w:sz w:val="16"/>
          <w:szCs w:val="16"/>
          <w:color w:val="auto"/>
        </w:rPr>
        <w:t xml:space="preserve"> Het fonds kan derivaten gebruiken om te proberen zijn beleggingen efficiënter te beheren.</w:t>
      </w:r>
      <w:r>
        <w:rPr xmlns:w="http://schemas.openxmlformats.org/wordprocessingml/2006/main">
          <w:rFonts w:ascii="Arial" w:cs="Arial" w:eastAsia="Arial" w:hAnsi="Arial"/>
          <w:sz w:val="16"/>
          <w:szCs w:val="16"/>
          <w:color w:val="auto"/>
        </w:rPr>
        <w:t xml:space="preserve"> Dit kan niet altijd succesvol zijn en kan resulteren in grotere schommelingen in de waarde van het fonds.</w:t>
      </w:r>
      <w:r>
        <w:rPr xmlns:w="http://schemas.openxmlformats.org/wordprocessingml/2006/main">
          <w:rFonts w:ascii="Arial" w:cs="Arial" w:eastAsia="Arial" w:hAnsi="Arial"/>
          <w:sz w:val="16"/>
          <w:szCs w:val="16"/>
          <w:color w:val="auto"/>
        </w:rPr>
        <w:t xml:space="preserve"> Dit kan een negatieve invloed hebben op de waarde van het fonds en uw investering.</w:t>
      </w:r>
    </w:p>
    <w:p>
      <w:pPr>
        <w:spacing w:after="0" w:line="16" w:lineRule="exact"/>
        <w:rPr>
          <w:sz w:val="24"/>
          <w:szCs w:val="24"/>
          <w:color w:val="auto"/>
        </w:rPr>
      </w:pPr>
    </w:p>
    <w:p>
      <w:pPr xmlns:w="http://schemas.openxmlformats.org/wordprocessingml/2006/main">
        <w:spacing w:after="0" w:line="254" w:lineRule="auto"/>
        <w:rPr>
          <w:sz w:val="20"/>
          <w:szCs w:val="20"/>
          <w:color w:val="auto"/>
        </w:rPr>
      </w:pPr>
      <w:r>
        <w:rPr xmlns:w="http://schemas.openxmlformats.org/wordprocessingml/2006/main">
          <w:rFonts w:ascii="Arial" w:cs="Arial" w:eastAsia="Arial" w:hAnsi="Arial"/>
          <w:sz w:val="16"/>
          <w:szCs w:val="16"/>
          <w:color w:val="auto"/>
        </w:rPr>
        <w:t xml:space="preserve">Een meer gedetailleerde beschrijving van de risico's en andere algemene informatie is te vinden in de risicoafdeling(en) van het prospectus.</w:t>
      </w:r>
    </w:p>
    <w:p>
      <w:pPr>
        <w:spacing w:after="0" w:line="200" w:lineRule="exact"/>
        <w:rPr>
          <w:sz w:val="24"/>
          <w:szCs w:val="24"/>
          <w:color w:val="auto"/>
        </w:rPr>
      </w:pPr>
    </w:p>
    <w:p>
      <w:pPr>
        <w:sectPr>
          <w:pgSz w:w="11900" w:h="16838" w:orient="portrait"/>
          <w:cols w:equalWidth="0" w:num="2">
            <w:col w:w="4820" w:space="400"/>
            <w:col w:w="4800"/>
          </w:cols>
          <w:pgMar w:left="1020" w:top="626" w:right="866" w:bottom="195" w:gutter="0" w:footer="0" w:header="0"/>
          <w:type w:val="continuous"/>
        </w:sectPr>
      </w:pPr>
    </w:p>
    <w:p>
      <w:pPr>
        <w:spacing w:after="0" w:line="42" w:lineRule="exact"/>
        <w:rPr>
          <w:sz w:val="24"/>
          <w:szCs w:val="24"/>
          <w:color w:val="auto"/>
        </w:rPr>
      </w:pP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22"/>
          <w:szCs w:val="22"/>
          <w:b w:val="1"/>
          <w:bCs w:val="1"/>
          <w:color w:val="auto"/>
        </w:rPr>
        <w:t xml:space="preserve">lasten</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13970</wp:posOffset>
                </wp:positionH>
                <wp:positionV relativeFrom="paragraph">
                  <wp:posOffset>32385</wp:posOffset>
                </wp:positionV>
                <wp:extent cx="6396355"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96355" cy="4763"/>
                        </a:xfrm>
                        <a:prstGeom prst="line">
                          <a:avLst/>
                        </a:prstGeom>
                        <a:solidFill>
                          <a:srgbClr val="FFFFFF"/>
                        </a:solidFill>
                        <a:ln w="19050">
                          <a:solidFill>
                            <a:srgbClr val="EE7203"/>
                          </a:solidFill>
                          <a:miter lim="800000"/>
                          <a:headEnd/>
                          <a:tailEnd/>
                        </a:ln>
                      </wps:spPr>
                      <wps:bodyPr/>
                    </wps:wsp>
                  </a:graphicData>
                </a:graphic>
              </wp:anchor>
            </w:drawing>
          </mc:Choice>
          <mc:Fallback>
            <w:pict>
              <v:line id="Shape 13" o:spid="_x0000_s103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1pt,2.55pt" to="504.75pt,2.55pt" o:allowincell="f" strokecolor="#EE7203" strokeweight="1.5pt"/>
            </w:pict>
          </mc:Fallback>
        </mc:AlternateContent>
      </w:r>
    </w:p>
    <w:p>
      <w:pPr>
        <w:spacing w:after="0" w:line="96" w:lineRule="exact"/>
        <w:rPr>
          <w:sz w:val="24"/>
          <w:szCs w:val="24"/>
          <w:color w:val="auto"/>
        </w:rPr>
      </w:pPr>
    </w:p>
    <w:p>
      <w:pPr xmlns:w="http://schemas.openxmlformats.org/wordprocessingml/2006/main">
        <w:ind w:left="60" w:right="4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De kosten die u betaalt, worden gebruikt om de kosten van het beheer van het fonds te betalen, inclusief de kosten van marketing en distributie ervan.</w:t>
      </w:r>
      <w:r>
        <w:rPr xmlns:w="http://schemas.openxmlformats.org/wordprocessingml/2006/main">
          <w:rFonts w:ascii="Arial" w:cs="Arial" w:eastAsia="Arial" w:hAnsi="Arial"/>
          <w:sz w:val="16"/>
          <w:szCs w:val="16"/>
          <w:color w:val="auto"/>
        </w:rPr>
        <w:t xml:space="preserve"> Deze kosten verminderen de potentiële groei van uw investering.</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wp:posOffset>
            </wp:positionH>
            <wp:positionV relativeFrom="paragraph">
              <wp:posOffset>-2540</wp:posOffset>
            </wp:positionV>
            <wp:extent cx="3599815" cy="122555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extLst>
                    </a:blip>
                    <a:srcRect/>
                    <a:stretch>
                      <a:fillRect/>
                    </a:stretch>
                  </pic:blipFill>
                  <pic:spPr bwMode="auto">
                    <a:xfrm>
                      <a:off x="0" y="0"/>
                      <a:ext cx="3599815" cy="1225550"/>
                    </a:xfrm>
                    <a:prstGeom prst="rect">
                      <a:avLst/>
                    </a:prstGeom>
                    <a:noFill/>
                  </pic:spPr>
                </pic:pic>
              </a:graphicData>
            </a:graphic>
          </wp:anchor>
        </w:drawing>
      </w:r>
    </w:p>
    <w:p>
      <w:pPr>
        <w:sectPr>
          <w:pgSz w:w="11900" w:h="16838" w:orient="portrait"/>
          <w:cols w:equalWidth="0" w:num="1">
            <w:col w:w="10020"/>
          </w:cols>
          <w:pgMar w:left="1020" w:top="626" w:right="866" w:bottom="195" w:gutter="0" w:footer="0" w:header="0"/>
          <w:type w:val="continuous"/>
        </w:sectPr>
      </w:pPr>
    </w:p>
    <w:p>
      <w:pPr>
        <w:spacing w:after="0" w:line="1" w:lineRule="exact"/>
        <w:rPr>
          <w:sz w:val="24"/>
          <w:szCs w:val="24"/>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Eenmalige kosten die voor of na uw investering zijn gemaakt</w:t>
      </w:r>
    </w:p>
    <w:p>
      <w:pPr>
        <w:spacing w:after="0" w:line="5" w:lineRule="exact"/>
        <w:rPr>
          <w:sz w:val="24"/>
          <w:szCs w:val="24"/>
          <w:color w:val="auto"/>
        </w:rPr>
      </w:pPr>
    </w:p>
    <w:tbl>
      <w:tblPr>
        <w:tblLayout w:type="fixed"/>
        <w:tblInd w:w="0" w:type="dxa"/>
        <w:tblCellMar>
          <w:top w:w="0" w:type="dxa"/>
          <w:left w:w="0" w:type="dxa"/>
          <w:bottom w:w="0" w:type="dxa"/>
          <w:right w:w="0" w:type="dxa"/>
        </w:tblCellMar>
      </w:tblPr>
      <w:tr>
        <w:trPr>
          <w:trHeight w:val="174"/>
        </w:trPr>
        <w:tc>
          <w:tcPr>
            <w:tcW w:w="2980" w:type="dxa"/>
            <w:vAlign w:val="bottom"/>
            <w:tcBorders>
              <w:top w:val="single" w:sz="8" w:color="auto"/>
              <w:bottom w:val="single" w:sz="8" w:color="auto"/>
              <w:right w:val="single" w:sz="8" w:color="auto"/>
            </w:tcBorders>
          </w:tcPr>
          <w:p>
            <w:pPr xmlns:w="http://schemas.openxmlformats.org/wordprocessingml/2006/main">
              <w:ind w:left="160"/>
              <w:spacing w:after="0" w:line="174" w:lineRule="exact"/>
              <w:rPr>
                <w:sz w:val="20"/>
                <w:szCs w:val="20"/>
                <w:color w:val="auto"/>
              </w:rPr>
            </w:pPr>
            <w:r>
              <w:rPr xmlns:w="http://schemas.openxmlformats.org/wordprocessingml/2006/main">
                <w:rFonts w:ascii="Arial" w:cs="Arial" w:eastAsia="Arial" w:hAnsi="Arial"/>
                <w:sz w:val="16"/>
                <w:szCs w:val="16"/>
                <w:b w:val="1"/>
                <w:bCs w:val="1"/>
                <w:color w:val="auto"/>
              </w:rPr>
              <w:t xml:space="preserve">Toeslag bij binnenkomst</w:t>
            </w:r>
          </w:p>
        </w:tc>
        <w:tc>
          <w:tcPr>
            <w:tcW w:w="2720" w:type="dxa"/>
            <w:vAlign w:val="bottom"/>
            <w:tcBorders>
              <w:top w:val="single" w:sz="8" w:color="auto"/>
              <w:bottom w:val="single" w:sz="8" w:color="auto"/>
            </w:tcBorders>
          </w:tcPr>
          <w:p>
            <w:pPr xmlns:w="http://schemas.openxmlformats.org/wordprocessingml/2006/main">
              <w:ind w:left="160"/>
              <w:spacing w:after="0" w:line="174" w:lineRule="exact"/>
              <w:rPr>
                <w:sz w:val="20"/>
                <w:szCs w:val="20"/>
                <w:color w:val="auto"/>
              </w:rPr>
            </w:pPr>
            <w:r>
              <w:rPr xmlns:w="http://schemas.openxmlformats.org/wordprocessingml/2006/main">
                <w:rFonts w:ascii="Arial" w:cs="Arial" w:eastAsia="Arial" w:hAnsi="Arial"/>
                <w:sz w:val="16"/>
                <w:szCs w:val="16"/>
                <w:color w:val="auto"/>
              </w:rPr>
              <w:t xml:space="preserve">Geen</w:t>
            </w:r>
          </w:p>
        </w:tc>
      </w:tr>
      <w:tr>
        <w:trPr>
          <w:trHeight w:val="174"/>
        </w:trPr>
        <w:tc>
          <w:tcPr>
            <w:tcW w:w="2980" w:type="dxa"/>
            <w:vAlign w:val="bottom"/>
            <w:tcBorders>
              <w:bottom w:val="single" w:sz="8" w:color="auto"/>
              <w:right w:val="single" w:sz="8" w:color="auto"/>
            </w:tcBorders>
          </w:tcPr>
          <w:p>
            <w:pPr xmlns:w="http://schemas.openxmlformats.org/wordprocessingml/2006/main">
              <w:ind w:left="160"/>
              <w:spacing w:after="0" w:line="174" w:lineRule="exact"/>
              <w:rPr>
                <w:sz w:val="20"/>
                <w:szCs w:val="20"/>
                <w:color w:val="auto"/>
              </w:rPr>
            </w:pPr>
            <w:r>
              <w:rPr xmlns:w="http://schemas.openxmlformats.org/wordprocessingml/2006/main">
                <w:rFonts w:ascii="Arial" w:cs="Arial" w:eastAsia="Arial" w:hAnsi="Arial"/>
                <w:sz w:val="16"/>
                <w:szCs w:val="16"/>
                <w:b w:val="1"/>
                <w:bCs w:val="1"/>
                <w:color w:val="auto"/>
              </w:rPr>
              <w:t xml:space="preserve">Exitkosten</w:t>
            </w:r>
          </w:p>
        </w:tc>
        <w:tc>
          <w:tcPr>
            <w:tcW w:w="2720" w:type="dxa"/>
            <w:vAlign w:val="bottom"/>
            <w:tcBorders>
              <w:bottom w:val="single" w:sz="8" w:color="auto"/>
            </w:tcBorders>
          </w:tcPr>
          <w:p>
            <w:pPr xmlns:w="http://schemas.openxmlformats.org/wordprocessingml/2006/main">
              <w:ind w:left="160"/>
              <w:spacing w:after="0" w:line="174" w:lineRule="exact"/>
              <w:rPr>
                <w:sz w:val="20"/>
                <w:szCs w:val="20"/>
                <w:color w:val="auto"/>
              </w:rPr>
            </w:pPr>
            <w:r>
              <w:rPr xmlns:w="http://schemas.openxmlformats.org/wordprocessingml/2006/main">
                <w:rFonts w:ascii="Arial" w:cs="Arial" w:eastAsia="Arial" w:hAnsi="Arial"/>
                <w:sz w:val="16"/>
                <w:szCs w:val="16"/>
                <w:color w:val="auto"/>
              </w:rPr>
              <w:t xml:space="preserve">Geen</w:t>
            </w:r>
          </w:p>
        </w:tc>
      </w:tr>
    </w:tbl>
    <w:p>
      <w:pPr xmlns:w="http://schemas.openxmlformats.org/wordprocessingml/2006/main">
        <w:ind w:left="160" w:right="120"/>
        <w:spacing w:after="0" w:line="246" w:lineRule="auto"/>
        <w:rPr>
          <w:sz w:val="20"/>
          <w:szCs w:val="20"/>
          <w:color w:val="auto"/>
        </w:rPr>
      </w:pPr>
      <w:r>
        <w:rPr xmlns:w="http://schemas.openxmlformats.org/wordprocessingml/2006/main">
          <w:rFonts w:ascii="Arial" w:cs="Arial" w:eastAsia="Arial" w:hAnsi="Arial"/>
          <w:sz w:val="16"/>
          <w:szCs w:val="16"/>
          <w:color w:val="auto"/>
        </w:rPr>
        <w:t xml:space="preserve">Dit is het maximum dat uit uw geld kan worden gehaald voordat het wordt geïnvesteerd (instapkosten) en voordat de opbrengst van uw investering wordt uitbetaald (uitstapkosten).</w:t>
      </w:r>
    </w:p>
    <w:p>
      <w:pPr xmlns:w="http://schemas.openxmlformats.org/wordprocessingml/2006/main">
        <w:ind w:left="160"/>
        <w:spacing w:after="0" w:line="235" w:lineRule="auto"/>
        <w:rPr>
          <w:sz w:val="20"/>
          <w:szCs w:val="20"/>
          <w:color w:val="auto"/>
        </w:rPr>
      </w:pPr>
      <w:r>
        <w:rPr xmlns:w="http://schemas.openxmlformats.org/wordprocessingml/2006/main">
          <w:rFonts w:ascii="Arial" w:cs="Arial" w:eastAsia="Arial" w:hAnsi="Arial"/>
          <w:sz w:val="16"/>
          <w:szCs w:val="16"/>
          <w:color w:val="auto"/>
        </w:rPr>
        <w:t xml:space="preserve">Kosten uit het fonds gedurende een jaar</w:t>
      </w:r>
    </w:p>
    <w:tbl>
      <w:tblPr>
        <w:tblLayout w:type="fixed"/>
        <w:tblInd w:w="0" w:type="dxa"/>
        <w:tblCellMar>
          <w:top w:w="0" w:type="dxa"/>
          <w:left w:w="0" w:type="dxa"/>
          <w:bottom w:w="0" w:type="dxa"/>
          <w:right w:w="0" w:type="dxa"/>
        </w:tblCellMar>
      </w:tblPr>
      <w:tr>
        <w:trPr>
          <w:trHeight w:val="174"/>
        </w:trPr>
        <w:tc>
          <w:tcPr>
            <w:tcW w:w="2980" w:type="dxa"/>
            <w:vAlign w:val="bottom"/>
            <w:tcBorders>
              <w:top w:val="single" w:sz="8" w:color="auto"/>
              <w:bottom w:val="single" w:sz="8" w:color="auto"/>
              <w:right w:val="single" w:sz="8" w:color="auto"/>
            </w:tcBorders>
          </w:tcPr>
          <w:p>
            <w:pPr xmlns:w="http://schemas.openxmlformats.org/wordprocessingml/2006/main">
              <w:ind w:left="160"/>
              <w:spacing w:after="0" w:line="174" w:lineRule="exact"/>
              <w:rPr>
                <w:sz w:val="20"/>
                <w:szCs w:val="20"/>
                <w:color w:val="auto"/>
              </w:rPr>
            </w:pPr>
            <w:r>
              <w:rPr xmlns:w="http://schemas.openxmlformats.org/wordprocessingml/2006/main">
                <w:rFonts w:ascii="Arial" w:cs="Arial" w:eastAsia="Arial" w:hAnsi="Arial"/>
                <w:sz w:val="16"/>
                <w:szCs w:val="16"/>
                <w:b w:val="1"/>
                <w:bCs w:val="1"/>
                <w:color w:val="auto"/>
              </w:rPr>
              <w:t xml:space="preserve">Lopende kosten</w:t>
            </w:r>
          </w:p>
        </w:tc>
        <w:tc>
          <w:tcPr>
            <w:tcW w:w="2720" w:type="dxa"/>
            <w:vAlign w:val="bottom"/>
            <w:tcBorders>
              <w:top w:val="single" w:sz="8" w:color="auto"/>
              <w:bottom w:val="single" w:sz="8" w:color="auto"/>
            </w:tcBorders>
          </w:tcPr>
          <w:p>
            <w:pPr xmlns:w="http://schemas.openxmlformats.org/wordprocessingml/2006/main">
              <w:jc w:val="right"/>
              <w:ind w:right="1960"/>
              <w:spacing w:after="0" w:line="174" w:lineRule="exact"/>
              <w:rPr>
                <w:sz w:val="20"/>
                <w:szCs w:val="20"/>
                <w:color w:val="auto"/>
              </w:rPr>
            </w:pPr>
            <w:r>
              <w:rPr xmlns:w="http://schemas.openxmlformats.org/wordprocessingml/2006/main">
                <w:rFonts w:ascii="Arial" w:cs="Arial" w:eastAsia="Arial" w:hAnsi="Arial"/>
                <w:sz w:val="16"/>
                <w:szCs w:val="16"/>
                <w:color w:val="auto"/>
              </w:rPr>
              <w:t xml:space="preserve">0,35%</w:t>
            </w:r>
          </w:p>
        </w:tc>
      </w:tr>
    </w:tbl>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Kosten die onder bepaalde specifieke voorwaarden uit het fonds worden betaald</w:t>
      </w:r>
    </w:p>
    <w:tbl>
      <w:tblPr>
        <w:tblLayout w:type="fixed"/>
        <w:tblInd w:w="0" w:type="dxa"/>
        <w:tblCellMar>
          <w:top w:w="0" w:type="dxa"/>
          <w:left w:w="0" w:type="dxa"/>
          <w:bottom w:w="0" w:type="dxa"/>
          <w:right w:w="0" w:type="dxa"/>
        </w:tblCellMar>
      </w:tblPr>
      <w:tr>
        <w:trPr>
          <w:trHeight w:val="174"/>
        </w:trPr>
        <w:tc>
          <w:tcPr>
            <w:tcW w:w="2980" w:type="dxa"/>
            <w:vAlign w:val="bottom"/>
            <w:tcBorders>
              <w:top w:val="single" w:sz="8" w:color="auto"/>
              <w:bottom w:val="single" w:sz="8" w:color="auto"/>
              <w:right w:val="single" w:sz="8" w:color="auto"/>
            </w:tcBorders>
          </w:tcPr>
          <w:p>
            <w:pPr xmlns:w="http://schemas.openxmlformats.org/wordprocessingml/2006/main">
              <w:ind w:left="160"/>
              <w:spacing w:after="0" w:line="174" w:lineRule="exact"/>
              <w:rPr>
                <w:sz w:val="20"/>
                <w:szCs w:val="20"/>
                <w:color w:val="auto"/>
              </w:rPr>
            </w:pPr>
            <w:r>
              <w:rPr xmlns:w="http://schemas.openxmlformats.org/wordprocessingml/2006/main">
                <w:rFonts w:ascii="Arial" w:cs="Arial" w:eastAsia="Arial" w:hAnsi="Arial"/>
                <w:sz w:val="16"/>
                <w:szCs w:val="16"/>
                <w:b w:val="1"/>
                <w:bCs w:val="1"/>
                <w:color w:val="auto"/>
              </w:rPr>
              <w:t xml:space="preserve">Prestatievergoeding</w:t>
            </w:r>
          </w:p>
        </w:tc>
        <w:tc>
          <w:tcPr>
            <w:tcW w:w="2720" w:type="dxa"/>
            <w:vAlign w:val="bottom"/>
            <w:tcBorders>
              <w:top w:val="single" w:sz="8" w:color="auto"/>
              <w:bottom w:val="single" w:sz="8" w:color="auto"/>
            </w:tcBorders>
          </w:tcPr>
          <w:p>
            <w:pPr xmlns:w="http://schemas.openxmlformats.org/wordprocessingml/2006/main">
              <w:ind w:left="160"/>
              <w:spacing w:after="0" w:line="174" w:lineRule="exact"/>
              <w:rPr>
                <w:sz w:val="20"/>
                <w:szCs w:val="20"/>
                <w:color w:val="auto"/>
              </w:rPr>
            </w:pPr>
            <w:r>
              <w:rPr xmlns:w="http://schemas.openxmlformats.org/wordprocessingml/2006/main">
                <w:rFonts w:ascii="Arial" w:cs="Arial" w:eastAsia="Arial" w:hAnsi="Arial"/>
                <w:sz w:val="16"/>
                <w:szCs w:val="16"/>
                <w:color w:val="auto"/>
              </w:rPr>
              <w:t xml:space="preserve">Geen</w:t>
            </w:r>
          </w:p>
        </w:tc>
      </w:tr>
    </w:tbl>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xmlns:w="http://schemas.openxmlformats.org/wordprocessingml/2006/main">
        <w:jc w:val="both"/>
        <w:ind w:right="40"/>
        <w:spacing w:after="0" w:line="239" w:lineRule="auto"/>
        <w:rPr>
          <w:sz w:val="20"/>
          <w:szCs w:val="20"/>
          <w:color w:val="auto"/>
        </w:rPr>
      </w:pPr>
      <w:r>
        <w:rPr xmlns:w="http://schemas.openxmlformats.org/wordprocessingml/2006/main">
          <w:rFonts w:ascii="Arial" w:cs="Arial" w:eastAsia="Arial" w:hAnsi="Arial"/>
          <w:sz w:val="16"/>
          <w:szCs w:val="16"/>
          <w:color w:val="auto"/>
        </w:rPr>
        <w:t xml:space="preserve">Secundaire marktbeleggers (degenen die aandelen kopen of verkopen op een beurs) kunnen bepaalde kosten in rekening worden gebracht door hun effectenmakelaar.</w:t>
      </w:r>
      <w:r>
        <w:rPr xmlns:w="http://schemas.openxmlformats.org/wordprocessingml/2006/main">
          <w:rFonts w:ascii="Arial" w:cs="Arial" w:eastAsia="Arial" w:hAnsi="Arial"/>
          <w:sz w:val="16"/>
          <w:szCs w:val="16"/>
          <w:color w:val="auto"/>
        </w:rPr>
        <w:t xml:space="preserve"> Deze kosten, indien van toepassing, kunnen worden verkregen van een dergelijke effectenmakelaar.</w:t>
      </w:r>
      <w:r>
        <w:rPr xmlns:w="http://schemas.openxmlformats.org/wordprocessingml/2006/main">
          <w:rFonts w:ascii="Arial" w:cs="Arial" w:eastAsia="Arial" w:hAnsi="Arial"/>
          <w:sz w:val="16"/>
          <w:szCs w:val="16"/>
          <w:color w:val="auto"/>
        </w:rPr>
        <w:t xml:space="preserve"> Geautoriseerde deelnemers die rechtstreeks met het fonds omgaan, betalen de transactiekosten die verband houden met hun abonnementen en aflossingen.</w:t>
      </w:r>
    </w:p>
    <w:p>
      <w:pPr>
        <w:spacing w:after="0" w:line="5" w:lineRule="exact"/>
        <w:rPr>
          <w:sz w:val="24"/>
          <w:szCs w:val="24"/>
          <w:color w:val="auto"/>
        </w:rPr>
      </w:pPr>
    </w:p>
    <w:p>
      <w:pPr xmlns:w="http://schemas.openxmlformats.org/wordprocessingml/2006/main">
        <w:jc w:val="both"/>
        <w:ind w:right="40"/>
        <w:spacing w:after="0" w:line="239" w:lineRule="auto"/>
        <w:rPr>
          <w:sz w:val="20"/>
          <w:szCs w:val="20"/>
          <w:color w:val="auto"/>
        </w:rPr>
      </w:pPr>
      <w:r>
        <w:rPr xmlns:w="http://schemas.openxmlformats.org/wordprocessingml/2006/main">
          <w:rFonts w:ascii="Arial" w:cs="Arial" w:eastAsia="Arial" w:hAnsi="Arial"/>
          <w:sz w:val="16"/>
          <w:szCs w:val="16"/>
          <w:color w:val="auto"/>
        </w:rPr>
        <w:t xml:space="preserve">De lopende kosten zijn gebaseerd op de uitgaven voor het boekjaar eindigend op 31.12.2022.</w:t>
      </w:r>
      <w:r>
        <w:rPr xmlns:w="http://schemas.openxmlformats.org/wordprocessingml/2006/main">
          <w:rFonts w:ascii="Arial" w:cs="Arial" w:eastAsia="Arial" w:hAnsi="Arial"/>
          <w:sz w:val="16"/>
          <w:szCs w:val="16"/>
          <w:color w:val="auto"/>
        </w:rPr>
        <w:t xml:space="preserve"> Dit kan van jaar tot jaar verschillen.</w:t>
      </w:r>
      <w:r>
        <w:rPr xmlns:w="http://schemas.openxmlformats.org/wordprocessingml/2006/main">
          <w:rFonts w:ascii="Arial" w:cs="Arial" w:eastAsia="Arial" w:hAnsi="Arial"/>
          <w:sz w:val="16"/>
          <w:szCs w:val="16"/>
          <w:color w:val="auto"/>
        </w:rPr>
        <w:t xml:space="preserve"> Het omvat geen transactiekosten voor portefeuilles en eventuele prestatievergoedingen.</w:t>
      </w:r>
    </w:p>
    <w:p>
      <w:pPr>
        <w:spacing w:after="0" w:line="3"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Aanvullende informatie over de kosten is te vinden in de kosten</w:t>
      </w:r>
    </w:p>
    <w:p>
      <w:pPr>
        <w:sectPr>
          <w:pgSz w:w="11900" w:h="16838" w:orient="portrait"/>
          <w:cols w:equalWidth="0" w:num="2">
            <w:col w:w="5680" w:space="80"/>
            <w:col w:w="4260"/>
          </w:cols>
          <w:pgMar w:left="1020" w:top="626" w:right="866" w:bottom="195" w:gutter="0" w:footer="0" w:header="0"/>
          <w:type w:val="continuous"/>
        </w:sectPr>
      </w:pPr>
    </w:p>
    <w:bookmarkStart w:id="1" w:name="page2"/>
    <w:bookmarkEnd w:id="1"/>
    <w:p>
      <w:pPr>
        <w:spacing w:after="0" w:line="8" w:lineRule="exact"/>
        <w:rPr>
          <w:sz w:val="20"/>
          <w:szCs w:val="20"/>
          <w:color w:val="auto"/>
        </w:rPr>
      </w:pPr>
    </w:p>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5"/>
          <w:szCs w:val="15"/>
          <w:b w:val="1"/>
          <w:bCs w:val="1"/>
          <w:color w:val="auto"/>
        </w:rPr>
        <w:t xml:space="preserve">Vergoedingen voor effectenuitleen</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0,00 %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-1991995</wp:posOffset>
            </wp:positionH>
            <wp:positionV relativeFrom="paragraph">
              <wp:posOffset>-115570</wp:posOffset>
            </wp:positionV>
            <wp:extent cx="3599815" cy="12954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extLst>
                        <a:ext uri="{28A0092B-C50C-407E-A947-70E740481C1C}"/>
                      </a:extLst>
                    </a:blip>
                    <a:srcRect/>
                    <a:stretch>
                      <a:fillRect/>
                    </a:stretch>
                  </pic:blipFill>
                  <pic:spPr bwMode="auto">
                    <a:xfrm>
                      <a:off x="0" y="0"/>
                      <a:ext cx="3599815" cy="129540"/>
                    </a:xfrm>
                    <a:prstGeom prst="rect">
                      <a:avLst/>
                    </a:prstGeom>
                    <a:noFill/>
                  </pic:spPr>
                </pic:pic>
              </a:graphicData>
            </a:graphic>
          </wp:anchor>
        </w:drawing>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jc w:val="center"/>
        <w:ind w:right="2200"/>
        <w:spacing w:after="0"/>
        <w:rPr>
          <w:sz w:val="20"/>
          <w:szCs w:val="20"/>
          <w:color w:val="auto"/>
        </w:rPr>
      </w:pPr>
      <w:r>
        <w:rPr xmlns:w="http://schemas.openxmlformats.org/wordprocessingml/2006/main">
          <w:rFonts w:ascii="Arial" w:cs="Arial" w:eastAsia="Arial" w:hAnsi="Arial"/>
          <w:sz w:val="16"/>
          <w:szCs w:val="16"/>
          <w:color w:val="auto"/>
        </w:rPr>
        <w:t xml:space="preserve">deel(en) van het prospectus.</w:t>
      </w:r>
    </w:p>
    <w:p>
      <w:pPr>
        <w:spacing w:after="0" w:line="210" w:lineRule="exact"/>
        <w:rPr>
          <w:sz w:val="20"/>
          <w:szCs w:val="20"/>
          <w:color w:val="auto"/>
        </w:rPr>
      </w:pPr>
    </w:p>
    <w:p>
      <w:pPr>
        <w:sectPr>
          <w:pgSz w:w="11900" w:h="16838" w:orient="portrait"/>
          <w:cols w:equalWidth="0" w:num="3">
            <w:col w:w="2360" w:space="720"/>
            <w:col w:w="1900" w:space="720"/>
            <w:col w:w="4220"/>
          </w:cols>
          <w:pgMar w:left="1080" w:top="598" w:right="906" w:bottom="1440" w:gutter="0" w:footer="0" w:header="0"/>
        </w:sectPr>
      </w:pPr>
    </w:p>
    <w:p>
      <w:pPr>
        <w:spacing w:after="0" w:line="50" w:lineRule="exact"/>
        <w:rPr>
          <w:sz w:val="20"/>
          <w:szCs w:val="20"/>
          <w:color w:val="auto"/>
        </w:rPr>
      </w:pPr>
    </w:p>
    <w:p>
      <w:pPr xmlns:w="http://schemas.openxmlformats.org/wordprocessingml/2006/main">
        <w:jc w:val="both"/>
        <w:spacing w:after="0" w:line="252" w:lineRule="auto"/>
        <w:rPr>
          <w:sz w:val="20"/>
          <w:szCs w:val="20"/>
          <w:color w:val="auto"/>
        </w:rPr>
      </w:pPr>
      <w:r>
        <w:rPr xmlns:w="http://schemas.openxmlformats.org/wordprocessingml/2006/main">
          <w:rFonts w:ascii="Arial" w:cs="Arial" w:eastAsia="Arial" w:hAnsi="Arial"/>
          <w:sz w:val="16"/>
          <w:szCs w:val="16"/>
          <w:color w:val="auto"/>
        </w:rPr>
        <w:t xml:space="preserve">Voor zover het fonds effectenleningen aangaat om inkomsten te genereren, zal het fonds uiteindelijk 70% van de bijbehorende inkomsten toegewezen krijgen, zal de effectenuitlenende agent, die een DWS-entiteit of andere Deutsche Bank-entiteit zal zijn, 15% toegewezen krijgen en de resterende 15% zal worden toegewezen aan de DWS-entiteit die dergelijke activiteiten monitort, zoals uiteengezet in het verkoopprospectus en supplement.</w:t>
      </w:r>
      <w:r>
        <w:rPr xmlns:w="http://schemas.openxmlformats.org/wordprocessingml/2006/main">
          <w:rFonts w:ascii="Arial" w:cs="Arial" w:eastAsia="Arial" w:hAnsi="Arial"/>
          <w:sz w:val="16"/>
          <w:szCs w:val="16"/>
          <w:color w:val="auto"/>
        </w:rPr>
        <w:t xml:space="preserve"> Aangezien de verdeling van de opbrengsten uit effectenleningen de kosten van het beheer van het fonds niet doet stijgen, is dit uitgesloten van de samenstelling van de kosten.</w:t>
      </w:r>
    </w:p>
    <w:p>
      <w:pPr>
        <w:spacing w:after="0" w:line="10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2"/>
          <w:szCs w:val="22"/>
          <w:b w:val="1"/>
          <w:bCs w:val="1"/>
          <w:color w:val="auto"/>
        </w:rPr>
        <w:t xml:space="preserve">Eerdere prestaties</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-23495</wp:posOffset>
                </wp:positionH>
                <wp:positionV relativeFrom="paragraph">
                  <wp:posOffset>32385</wp:posOffset>
                </wp:positionV>
                <wp:extent cx="6395720" cy="0"/>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95720" cy="4763"/>
                        </a:xfrm>
                        <a:prstGeom prst="line">
                          <a:avLst/>
                        </a:prstGeom>
                        <a:solidFill>
                          <a:srgbClr val="FFFFFF"/>
                        </a:solidFill>
                        <a:ln w="19050">
                          <a:solidFill>
                            <a:srgbClr val="EE7203"/>
                          </a:solidFill>
                          <a:miter lim="800000"/>
                          <a:headEnd/>
                          <a:tailEnd/>
                        </a:ln>
                      </wps:spPr>
                      <wps:bodyPr/>
                    </wps:wsp>
                  </a:graphicData>
                </a:graphic>
              </wp:anchor>
            </w:drawing>
          </mc:Choice>
          <mc:Fallback>
            <w:pict>
              <v:line id="Shape 16" o:spid="_x0000_s104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8499pt,2.55pt" to="501.75pt,2.55pt" o:allowincell="f" strokecolor="#EE7203" strokeweight="1.5pt"/>
            </w:pict>
          </mc:Fallback>
        </mc:AlternateContent>
      </w:r>
    </w:p>
    <w:p>
      <w:pPr>
        <w:spacing w:after="0" w:line="130" w:lineRule="exact"/>
        <w:rPr>
          <w:sz w:val="20"/>
          <w:szCs w:val="20"/>
          <w:color w:val="auto"/>
        </w:rPr>
      </w:pPr>
    </w:p>
    <w:p>
      <w:pPr xmlns:w="http://schemas.openxmlformats.org/wordprocessingml/2006/main">
        <w:jc w:val="both"/>
        <w:ind w:left="6900" w:right="60"/>
        <w:spacing w:after="0" w:line="244" w:lineRule="auto"/>
        <w:rPr>
          <w:sz w:val="20"/>
          <w:szCs w:val="20"/>
          <w:color w:val="auto"/>
        </w:rPr>
      </w:pPr>
      <w:r>
        <w:rPr xmlns:w="http://schemas.openxmlformats.org/wordprocessingml/2006/main">
          <w:rFonts w:ascii="Arial" w:cs="Arial" w:eastAsia="Arial" w:hAnsi="Arial"/>
          <w:sz w:val="16"/>
          <w:szCs w:val="16"/>
          <w:color w:val="auto"/>
        </w:rPr>
        <w:t xml:space="preserve">Prestaties uit het verleden zijn geen betrouwbare indicator voor toekomstige prestaties.</w:t>
      </w:r>
      <w:r>
        <w:rPr xmlns:w="http://schemas.openxmlformats.org/wordprocessingml/2006/main">
          <w:rFonts w:ascii="Arial" w:cs="Arial" w:eastAsia="Arial" w:hAnsi="Arial"/>
          <w:sz w:val="16"/>
          <w:szCs w:val="16"/>
          <w:color w:val="auto"/>
        </w:rPr>
        <w:t xml:space="preserve"> Alle kosten en vergoedingen die werden opgenomen in de 1C-aandelenklasse van Xtrackers Artificial Intelligence &amp; Big Data UCITS ETF werden tijdens de berekening in mindering gebracht.</w:t>
      </w:r>
      <w:r>
        <w:rPr xmlns:w="http://schemas.openxmlformats.org/wordprocessingml/2006/main">
          <w:rFonts w:ascii="Arial" w:cs="Arial" w:eastAsia="Arial" w:hAnsi="Arial"/>
          <w:sz w:val="16"/>
          <w:szCs w:val="16"/>
          <w:color w:val="auto"/>
        </w:rPr>
        <w:t xml:space="preserve"> De 1C-aandelenklasse van Xtrackers Artificial Intelligence &amp; Big Data UCITS ETF werd in 2019 gelanceerd.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-40005</wp:posOffset>
            </wp:positionH>
            <wp:positionV relativeFrom="paragraph">
              <wp:posOffset>-1068070</wp:posOffset>
            </wp:positionV>
            <wp:extent cx="4321175" cy="204470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a:extLst>
                        <a:ext uri="{28A0092B-C50C-407E-A947-70E740481C1C}"/>
                      </a:extLst>
                    </a:blip>
                    <a:srcRect/>
                    <a:stretch>
                      <a:fillRect/>
                    </a:stretch>
                  </pic:blipFill>
                  <pic:spPr bwMode="auto">
                    <a:xfrm>
                      <a:off x="0" y="0"/>
                      <a:ext cx="4321175" cy="204470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2"/>
          <w:szCs w:val="22"/>
          <w:b w:val="1"/>
          <w:bCs w:val="1"/>
          <w:color w:val="auto"/>
        </w:rPr>
        <w:t xml:space="preserve">Praktische informatie</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-23495</wp:posOffset>
                </wp:positionH>
                <wp:positionV relativeFrom="paragraph">
                  <wp:posOffset>32385</wp:posOffset>
                </wp:positionV>
                <wp:extent cx="6395720" cy="0"/>
                <wp:wrapNone/>
                <wp:docPr id="18" name="Shape 1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95720" cy="4763"/>
                        </a:xfrm>
                        <a:prstGeom prst="line">
                          <a:avLst/>
                        </a:prstGeom>
                        <a:solidFill>
                          <a:srgbClr val="FFFFFF"/>
                        </a:solidFill>
                        <a:ln w="19050">
                          <a:solidFill>
                            <a:srgbClr val="EE7203"/>
                          </a:solidFill>
                          <a:miter lim="800000"/>
                          <a:headEnd/>
                          <a:tailEnd/>
                        </a:ln>
                      </wps:spPr>
                      <wps:bodyPr/>
                    </wps:wsp>
                  </a:graphicData>
                </a:graphic>
              </wp:anchor>
            </w:drawing>
          </mc:Choice>
          <mc:Fallback>
            <w:pict>
              <v:line id="Shape 18" o:spid="_x0000_s104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8499pt,2.55pt" to="501.75pt,2.55pt" o:allowincell="f" strokecolor="#EE7203" strokeweight="1.5pt"/>
            </w:pict>
          </mc:Fallback>
        </mc:AlternateContent>
      </w:r>
    </w:p>
    <w:p>
      <w:pPr>
        <w:sectPr>
          <w:pgSz w:w="11900" w:h="16838" w:orient="portrait"/>
          <w:cols w:equalWidth="0" w:num="1">
            <w:col w:w="9920"/>
          </w:cols>
          <w:pgMar w:left="1080" w:top="598" w:right="906" w:bottom="1440" w:gutter="0" w:footer="0" w:header="0"/>
          <w:type w:val="continuous"/>
        </w:sectPr>
      </w:pPr>
    </w:p>
    <w:p>
      <w:pPr>
        <w:spacing w:after="0" w:line="116" w:lineRule="exact"/>
        <w:rPr>
          <w:sz w:val="20"/>
          <w:szCs w:val="20"/>
          <w:color w:val="auto"/>
        </w:rPr>
      </w:pPr>
    </w:p>
    <w:p>
      <w:pPr xmlns:w="http://schemas.openxmlformats.org/wordprocessingml/2006/main">
        <w:jc w:val="both"/>
        <w:spacing w:after="0" w:line="257" w:lineRule="auto"/>
        <w:rPr>
          <w:sz w:val="20"/>
          <w:szCs w:val="20"/>
          <w:color w:val="auto"/>
        </w:rPr>
      </w:pPr>
      <w:r>
        <w:rPr xmlns:w="http://schemas.openxmlformats.org/wordprocessingml/2006/main">
          <w:rFonts w:ascii="Arial" w:cs="Arial" w:eastAsia="Arial" w:hAnsi="Arial"/>
          <w:sz w:val="15"/>
          <w:szCs w:val="15"/>
          <w:color w:val="auto"/>
        </w:rPr>
        <w:t xml:space="preserve">De bewaarder is State Street Custodial Services (Ireland) Limited, Ierland.</w:t>
      </w:r>
      <w:r>
        <w:rPr xmlns:w="http://schemas.openxmlformats.org/wordprocessingml/2006/main">
          <w:rFonts w:ascii="Arial" w:cs="Arial" w:eastAsia="Arial" w:hAnsi="Arial"/>
          <w:sz w:val="15"/>
          <w:szCs w:val="15"/>
          <w:color w:val="auto"/>
        </w:rPr>
        <w:t xml:space="preserve"> Kopieën van het prospectus en de periodieke verslagen zijn gratis beschikbaar in de taal van dit document.</w:t>
      </w:r>
      <w:r>
        <w:rPr xmlns:w="http://schemas.openxmlformats.org/wordprocessingml/2006/main">
          <w:rFonts w:ascii="Arial" w:cs="Arial" w:eastAsia="Arial" w:hAnsi="Arial"/>
          <w:sz w:val="15"/>
          <w:szCs w:val="15"/>
          <w:color w:val="auto"/>
        </w:rPr>
        <w:t xml:space="preserve"> De documenten en andere informatie (inclusief de laatste aandelenkoersen en de indicatieve nettovermogenswaarden) zijn kosteloos beschikbaar.</w:t>
      </w:r>
      <w:r>
        <w:rPr xmlns:w="http://schemas.openxmlformats.org/wordprocessingml/2006/main">
          <w:rFonts w:ascii="Arial" w:cs="Arial" w:eastAsia="Arial" w:hAnsi="Arial"/>
          <w:sz w:val="15"/>
          <w:szCs w:val="15"/>
          <w:color w:val="auto"/>
        </w:rPr>
        <w:t xml:space="preserve"> De documenten zijn beschikbaar op uw lokale DWS-website of op www.Xtrackers.com, voor volledige openbaarmaking over de samenstelling van de portefeuille van het fonds en informatie over de indexbestanddelen, raadpleegt u ook deze website.</w:t>
      </w:r>
      <w:r>
        <w:rPr xmlns:w="http://schemas.openxmlformats.org/wordprocessingml/2006/main">
          <w:rFonts w:ascii="Arial" w:cs="Arial" w:eastAsia="Arial" w:hAnsi="Arial"/>
          <w:sz w:val="15"/>
          <w:szCs w:val="15"/>
          <w:color w:val="auto"/>
        </w:rPr>
        <w:t xml:space="preserve"> Informatie over het huidige beloningsbeleid van de beheermaatschappij, met inbegrip van een beschrijving van de wijze waarop de beloning en de voordelen worden berekend, wordt op internet gepubliceerd op https://www.dws.com/footer/Legal-</w:t>
      </w:r>
    </w:p>
    <w:p>
      <w:pPr>
        <w:spacing w:after="0" w:line="7" w:lineRule="exact"/>
        <w:rPr>
          <w:sz w:val="20"/>
          <w:szCs w:val="20"/>
          <w:color w:val="auto"/>
        </w:rPr>
      </w:pPr>
    </w:p>
    <w:p>
      <w:pPr xmlns:w="http://schemas.openxmlformats.org/wordprocessingml/2006/main">
        <w:jc w:val="both"/>
        <w:spacing w:after="0" w:line="243" w:lineRule="auto"/>
        <w:rPr>
          <w:sz w:val="20"/>
          <w:szCs w:val="20"/>
          <w:color w:val="auto"/>
        </w:rPr>
      </w:pPr>
      <w:r>
        <w:rPr xmlns:w="http://schemas.openxmlformats.org/wordprocessingml/2006/main">
          <w:rFonts w:ascii="Arial" w:cs="Arial" w:eastAsia="Arial" w:hAnsi="Arial"/>
          <w:sz w:val="16"/>
          <w:szCs w:val="16"/>
          <w:color w:val="auto"/>
        </w:rPr>
        <w:t xml:space="preserve">Resources/dws-remuneratiebeleid? setLanguage=nl.</w:t>
      </w:r>
      <w:r>
        <w:rPr xmlns:w="http://schemas.openxmlformats.org/wordprocessingml/2006/main">
          <w:rFonts w:ascii="Arial" w:cs="Arial" w:eastAsia="Arial" w:hAnsi="Arial"/>
          <w:sz w:val="16"/>
          <w:szCs w:val="16"/>
          <w:color w:val="auto"/>
        </w:rPr>
        <w:t xml:space="preserve"> De informatie wordt u op verzoek kosteloos in papieren vorm toegezonden.</w:t>
      </w:r>
      <w:r>
        <w:rPr xmlns:w="http://schemas.openxmlformats.org/wordprocessingml/2006/main">
          <w:rFonts w:ascii="Arial" w:cs="Arial" w:eastAsia="Arial" w:hAnsi="Arial"/>
          <w:sz w:val="16"/>
          <w:szCs w:val="16"/>
          <w:color w:val="auto"/>
        </w:rPr>
        <w:t xml:space="preserve"> Belastingregelingen die van toepassing zijn op het fonds in uw rechtsgebied kunnen van invloed zijn op uw persoonlijke belastingsituatie.</w:t>
      </w:r>
      <w:r>
        <w:rPr xmlns:w="http://schemas.openxmlformats.org/wordprocessingml/2006/main">
          <w:rFonts w:ascii="Arial" w:cs="Arial" w:eastAsia="Arial" w:hAnsi="Arial"/>
          <w:sz w:val="16"/>
          <w:szCs w:val="16"/>
          <w:color w:val="auto"/>
        </w:rPr>
        <w:t xml:space="preserve"> Potentiële beleggers dienen zich te informeren over, en in voorkomend geval advies in te winnen over</w:t>
      </w:r>
    </w:p>
    <w:p>
      <w:pPr>
        <w:spacing w:after="0" w:line="15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Deze essentiële beleggersinformatie is nauwkeurig per 24.07.2023.</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96" w:lineRule="exact"/>
        <w:rPr>
          <w:sz w:val="20"/>
          <w:szCs w:val="20"/>
          <w:color w:val="auto"/>
        </w:rPr>
      </w:pPr>
    </w:p>
    <w:p>
      <w:pPr xmlns:w="http://schemas.openxmlformats.org/wordprocessingml/2006/main">
        <w:jc w:val="both"/>
        <w:spacing w:after="0" w:line="242" w:lineRule="auto"/>
        <w:rPr>
          <w:sz w:val="20"/>
          <w:szCs w:val="20"/>
          <w:color w:val="auto"/>
        </w:rPr>
      </w:pPr>
      <w:r>
        <w:rPr xmlns:w="http://schemas.openxmlformats.org/wordprocessingml/2006/main">
          <w:rFonts w:ascii="Arial" w:cs="Arial" w:eastAsia="Arial" w:hAnsi="Arial"/>
          <w:sz w:val="16"/>
          <w:szCs w:val="16"/>
          <w:color w:val="auto"/>
        </w:rPr>
        <w:t xml:space="preserve">dergelijke belastingregelingen.</w:t>
      </w:r>
      <w:r>
        <w:rPr xmlns:w="http://schemas.openxmlformats.org/wordprocessingml/2006/main">
          <w:rFonts w:ascii="Arial" w:cs="Arial" w:eastAsia="Arial" w:hAnsi="Arial"/>
          <w:sz w:val="16"/>
          <w:szCs w:val="16"/>
          <w:color w:val="auto"/>
        </w:rPr>
        <w:t xml:space="preserve"> Xtrackers (IE) plc kan uitsluitend aansprakelijk worden gesteld op basis van een verklaring in dit document die misleidend, onnauwkeurig of niet in overeenstemming is met de relevante delen van het verkoopprospectus.</w:t>
      </w:r>
      <w:r>
        <w:rPr xmlns:w="http://schemas.openxmlformats.org/wordprocessingml/2006/main">
          <w:rFonts w:ascii="Arial" w:cs="Arial" w:eastAsia="Arial" w:hAnsi="Arial"/>
          <w:sz w:val="16"/>
          <w:szCs w:val="16"/>
          <w:color w:val="auto"/>
        </w:rPr>
        <w:t xml:space="preserve"> Dit fonds is een subfonds van Xtrackers (IE) plc waarvoor het verkoopprospectus en de periodieke rapportages in hun geheel worden opgesteld naast individuele supplementen per subfonds.</w:t>
      </w:r>
      <w:r>
        <w:rPr xmlns:w="http://schemas.openxmlformats.org/wordprocessingml/2006/main">
          <w:rFonts w:ascii="Arial" w:cs="Arial" w:eastAsia="Arial" w:hAnsi="Arial"/>
          <w:sz w:val="16"/>
          <w:szCs w:val="16"/>
          <w:color w:val="auto"/>
        </w:rPr>
        <w:t xml:space="preserve"> De activa en passiva van elk subfonds worden bij wet gescheiden.</w:t>
      </w:r>
      <w:r>
        <w:rPr xmlns:w="http://schemas.openxmlformats.org/wordprocessingml/2006/main">
          <w:rFonts w:ascii="Arial" w:cs="Arial" w:eastAsia="Arial" w:hAnsi="Arial"/>
          <w:sz w:val="16"/>
          <w:szCs w:val="16"/>
          <w:color w:val="auto"/>
        </w:rPr>
        <w:t xml:space="preserve"> Als gevolg daarvan zijn activa van een subfonds niet beschikbaar in geval van vorderingen op of insolventie van een ander subfonds.</w:t>
      </w:r>
      <w:r>
        <w:rPr xmlns:w="http://schemas.openxmlformats.org/wordprocessingml/2006/main">
          <w:rFonts w:ascii="Arial" w:cs="Arial" w:eastAsia="Arial" w:hAnsi="Arial"/>
          <w:sz w:val="16"/>
          <w:szCs w:val="16"/>
          <w:color w:val="auto"/>
        </w:rPr>
        <w:t xml:space="preserve"> Meer aandelenklassen kunnen beschikbaar zijn voor dit fonds - raadpleeg de relevante sectie van het supplement voor meer informatie.</w:t>
      </w:r>
      <w:r>
        <w:rPr xmlns:w="http://schemas.openxmlformats.org/wordprocessingml/2006/main">
          <w:rFonts w:ascii="Arial" w:cs="Arial" w:eastAsia="Arial" w:hAnsi="Arial"/>
          <w:sz w:val="16"/>
          <w:szCs w:val="16"/>
          <w:color w:val="auto"/>
        </w:rPr>
        <w:t xml:space="preserve"> Het is niet toegestaan om uw aandelen in dit fonds te ruilen voor andere fondsen van Xtrackers (IE) plc.</w:t>
      </w:r>
      <w:r>
        <w:rPr xmlns:w="http://schemas.openxmlformats.org/wordprocessingml/2006/main">
          <w:rFonts w:ascii="Arial" w:cs="Arial" w:eastAsia="Arial" w:hAnsi="Arial"/>
          <w:sz w:val="16"/>
          <w:szCs w:val="16"/>
          <w:color w:val="auto"/>
        </w:rPr>
        <w:t xml:space="preserve"> Dit fonds heeft een vergunning in Ierland en wordt gereguleerd door de Central Bank of Ireland.</w:t>
      </w:r>
      <w:r>
        <w:rPr xmlns:w="http://schemas.openxmlformats.org/wordprocessingml/2006/main">
          <w:rFonts w:ascii="Arial" w:cs="Arial" w:eastAsia="Arial" w:hAnsi="Arial"/>
          <w:sz w:val="16"/>
          <w:szCs w:val="16"/>
          <w:color w:val="auto"/>
        </w:rPr>
        <w:t xml:space="preserve"> DWS Investment S.A. is geautoriseerd in Luxemburg en wordt gereguleerd door de Commission de Surveillance du Secteur Financier.</w:t>
      </w:r>
    </w:p>
    <w:p>
      <w:pPr>
        <w:spacing w:after="0" w:line="712" w:lineRule="exact"/>
        <w:rPr>
          <w:sz w:val="20"/>
          <w:szCs w:val="20"/>
          <w:color w:val="auto"/>
        </w:rPr>
      </w:pPr>
    </w:p>
    <w:p>
      <w:pPr>
        <w:sectPr>
          <w:pgSz w:w="11900" w:h="16838" w:orient="portrait"/>
          <w:cols w:equalWidth="0" w:num="2">
            <w:col w:w="4760" w:space="400"/>
            <w:col w:w="4760"/>
          </w:cols>
          <w:pgMar w:left="1080" w:top="598" w:right="906" w:bottom="1440" w:gutter="0" w:footer="0" w:header="0"/>
          <w:type w:val="continuous"/>
        </w:sectPr>
      </w:pPr>
    </w:p>
    <w:p>
      <w:pPr xmlns:w="http://schemas.openxmlformats.org/wordprocessingml/2006/main">
        <w:jc w:val="both"/>
        <w:ind w:right="140"/>
        <w:spacing w:after="0" w:line="257" w:lineRule="auto"/>
        <w:rPr>
          <w:sz w:val="20"/>
          <w:szCs w:val="20"/>
          <w:color w:val="auto"/>
        </w:rPr>
      </w:pPr>
      <w:r>
        <w:rPr xmlns:w="http://schemas.openxmlformats.org/wordprocessingml/2006/main">
          <w:rFonts w:ascii="Arial" w:cs="Arial" w:eastAsia="Arial" w:hAnsi="Arial"/>
          <w:sz w:val="14"/>
          <w:szCs w:val="14"/>
          <w:color w:val="auto"/>
        </w:rPr>
        <w:t xml:space="preserve">Nasdaq®, is een geregistreerd handelsmerk van NASDAQ, Inc. (dat met zijn gelieerde ondernemingen wordt aangeduid als de "Corporation") en is gelicentieerd voor gebruik door Xtrackers (IE) plc.</w:t>
      </w:r>
      <w:r>
        <w:rPr xmlns:w="http://schemas.openxmlformats.org/wordprocessingml/2006/main">
          <w:rFonts w:ascii="Arial" w:cs="Arial" w:eastAsia="Arial" w:hAnsi="Arial"/>
          <w:sz w:val="14"/>
          <w:szCs w:val="14"/>
          <w:color w:val="auto"/>
        </w:rPr>
        <w:t xml:space="preserve"> De Producten zijn niet door de Vennootschap doorgegeven met betrekking tot hun rechtmatigheid of geschiktheid.</w:t>
      </w:r>
      <w:r>
        <w:rPr xmlns:w="http://schemas.openxmlformats.org/wordprocessingml/2006/main">
          <w:rFonts w:ascii="Arial" w:cs="Arial" w:eastAsia="Arial" w:hAnsi="Arial"/>
          <w:sz w:val="14"/>
          <w:szCs w:val="14"/>
          <w:color w:val="auto"/>
        </w:rPr>
        <w:t xml:space="preserve"> De producten worden niet uitgegeven, onderschreven, verkocht of gepromoot door het bedrijf.</w:t>
      </w:r>
      <w:r>
        <w:rPr xmlns:w="http://schemas.openxmlformats.org/wordprocessingml/2006/main">
          <w:rFonts w:ascii="Arial" w:cs="Arial" w:eastAsia="Arial" w:hAnsi="Arial"/>
          <w:sz w:val="14"/>
          <w:szCs w:val="14"/>
          <w:color w:val="auto"/>
        </w:rPr>
        <w:t xml:space="preserve"> DE VENNOOTSCHAP GEEFT GEEN GARANTIES EN DRAAGT GEEN AANSPRAKELIJKHEID MET BETREKKING TOT HET PRODUCT (EN).</w:t>
      </w:r>
    </w:p>
    <w:sectPr>
      <w:pgSz w:w="11900" w:h="16838" w:orient="portrait"/>
      <w:cols w:equalWidth="0" w:num="1">
        <w:col w:w="9920"/>
      </w:cols>
      <w:pgMar w:left="1080" w:top="598" w:right="906"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20" Type="http://schemas.openxmlformats.org/officeDocument/2006/relationships/image" Target="media/image9.png"/><Relationship Id="rId21" Type="http://schemas.openxmlformats.org/officeDocument/2006/relationships/image" Target="media/image10.png"/><Relationship Id="rId22" Type="http://schemas.openxmlformats.org/officeDocument/2006/relationships/image" Target="media/image1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2024-06-24T09:48:17Z</dcterms:created>
  <dcterms:modified xsi:type="dcterms:W3CDTF">2024-06-24T09:48:17Z</dcterms:modified>
</cp:coreProperties>
</file>