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ESSENTIËLE BELEGGERSINFORMATIE</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9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8"/>
              </w:rPr>
              <w:t xml:space="preserve">iShares MSCI World Islamic UCITS ETF</w:t>
            </w:r>
          </w:p>
        </w:tc>
        <w:tc>
          <w:tcPr>
            <w:tcW w:w="2480" w:type="dxa"/>
            <w:vAlign w:val="bottom"/>
          </w:tcPr>
          <w:p>
            <w:pPr xmlns:w="http://schemas.openxmlformats.org/wordprocessingml/2006/main">
              <w:ind w:left="400"/>
              <w:spacing w:after="0"/>
              <w:rPr>
                <w:sz w:val="20"/>
                <w:szCs w:val="20"/>
                <w:color w:val="auto"/>
              </w:rPr>
            </w:pPr>
            <w:r>
              <w:rPr xmlns:w="http://schemas.openxmlformats.org/wordprocessingml/2006/main">
                <w:rFonts w:ascii="Arial" w:cs="Arial" w:eastAsia="Arial" w:hAnsi="Arial"/>
                <w:sz w:val="22"/>
                <w:szCs w:val="22"/>
                <w:color w:val="auto"/>
                <w:w w:val="89"/>
              </w:rPr>
              <w:t xml:space="preserve">USD (DIST)-aandelenklasse</w:t>
            </w:r>
          </w:p>
        </w:tc>
        <w:tc>
          <w:tcPr>
            <w:tcW w:w="2120" w:type="dxa"/>
            <w:vAlign w:val="bottom"/>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auto"/>
                <w:w w:val="86"/>
              </w:rPr>
              <w:t xml:space="preserve">Exchange Traded Fund (ETF)</w:t>
            </w:r>
          </w:p>
        </w:tc>
        <w:tc>
          <w:tcPr>
            <w:tcW w:w="0" w:type="dxa"/>
            <w:vAlign w:val="bottom"/>
          </w:tcPr>
          <w:p>
            <w:pPr>
              <w:spacing w:after="0"/>
              <w:rPr>
                <w:sz w:val="1"/>
                <w:szCs w:val="1"/>
                <w:color w:val="auto"/>
              </w:rPr>
            </w:pPr>
          </w:p>
        </w:tc>
      </w:tr>
      <w:tr>
        <w:trPr>
          <w:trHeight w:val="242"/>
        </w:trPr>
        <w:tc>
          <w:tcPr>
            <w:tcW w:w="494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Een subfonds van iShares II plc</w:t>
            </w:r>
          </w:p>
        </w:tc>
        <w:tc>
          <w:tcPr>
            <w:tcW w:w="2480" w:type="dxa"/>
            <w:vAlign w:val="bottom"/>
          </w:tcPr>
          <w:p>
            <w:pPr xmlns:w="http://schemas.openxmlformats.org/wordprocessingml/2006/main">
              <w:ind w:left="400"/>
              <w:spacing w:after="0"/>
              <w:rPr>
                <w:sz w:val="20"/>
                <w:szCs w:val="20"/>
                <w:color w:val="auto"/>
              </w:rPr>
            </w:pPr>
            <w:r>
              <w:rPr xmlns:w="http://schemas.openxmlformats.org/wordprocessingml/2006/main">
                <w:rFonts w:ascii="Arial" w:cs="Arial" w:eastAsia="Arial" w:hAnsi="Arial"/>
                <w:sz w:val="18"/>
                <w:szCs w:val="18"/>
                <w:color w:val="auto"/>
              </w:rPr>
              <w:t xml:space="preserve">ISIN: IE00B27YCN58</w:t>
            </w:r>
          </w:p>
        </w:tc>
        <w:tc>
          <w:tcPr>
            <w:tcW w:w="212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940" w:type="dxa"/>
            <w:vAlign w:val="bottom"/>
            <w:vMerge w:val="continue"/>
          </w:tcPr>
          <w:p>
            <w:pPr>
              <w:spacing w:after="0"/>
              <w:rPr>
                <w:sz w:val="9"/>
                <w:szCs w:val="9"/>
                <w:color w:val="auto"/>
              </w:rPr>
            </w:pPr>
          </w:p>
        </w:tc>
        <w:tc>
          <w:tcPr>
            <w:tcW w:w="2480" w:type="dxa"/>
            <w:vAlign w:val="bottom"/>
          </w:tcPr>
          <w:p>
            <w:pPr>
              <w:spacing w:after="0"/>
              <w:rPr>
                <w:sz w:val="9"/>
                <w:szCs w:val="9"/>
                <w:color w:val="auto"/>
              </w:rPr>
            </w:pPr>
          </w:p>
        </w:tc>
        <w:tc>
          <w:tcPr>
            <w:tcW w:w="212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Ontwikkelaar: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Doelstellingen en beleggingsbeleid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aandelenklasse is een aandelenklasse van een fonds dat een rendement op uw investering beoogt te behalen, door een combinatie van kapitaalgroei en inkomsten uit de activa van het fonds, die het rendement van de MSCI World Islamic Index, de benchmarkindex (Index) van het fonds, weerspiegelt.</w:t>
      </w:r>
    </w:p>
    <w:p>
      <w:pPr>
        <w:spacing w:after="0" w:line="28" w:lineRule="exact"/>
        <w:rPr>
          <w:sz w:val="24"/>
          <w:szCs w:val="24"/>
          <w:color w:val="auto"/>
        </w:rPr>
      </w:pPr>
    </w:p>
    <w:p>
      <w:pPr xmlns:w="http://schemas.openxmlformats.org/wordprocessingml/2006/main">
        <w:ind w:left="140" w:right="2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Aandelenklasse, via het Fonds, wordt passief beheerd en heeft tot doel om zoveel mogelijk en uitvoerbaar en op een manier die in overeenstemming is met de Shari’ah-principes, te beleggen in de aandeleneffecten (bijv. aandelen) die deel uitmaken van de Index.</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Shari’ah-principes zijn de regels, voorschriften en parameters van de islamitische wet zoals geïnterpreteerd door islamitische geleerden, waaronder in dit geval het BlackRock Shari’ah Panel (een panel van islamitische geleerden die zijn aangesteld om richtlijnen te geven met betrekking tot de naleving van de Shari’ah-principes door het Fonds).</w:t>
      </w:r>
    </w:p>
    <w:p>
      <w:pPr>
        <w:spacing w:after="0" w:line="28" w:lineRule="exact"/>
        <w:rPr>
          <w:sz w:val="24"/>
          <w:szCs w:val="24"/>
          <w:color w:val="auto"/>
        </w:rPr>
      </w:pPr>
    </w:p>
    <w:p>
      <w:pPr xmlns:w="http://schemas.openxmlformats.org/wordprocessingml/2006/main">
        <w:jc w:val="both"/>
        <w:ind w:left="140" w:right="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index meet de prestaties van grote en middelgrote kapitalisatieaandelen in ontwikkelde landen die in aanmerking komen voor investeringen voor islamitische beleggers.</w:t>
      </w:r>
      <w:r>
        <w:rPr xmlns:w="http://schemas.openxmlformats.org/wordprocessingml/2006/main">
          <w:rFonts w:ascii="Arial" w:cs="Arial" w:eastAsia="Arial" w:hAnsi="Arial"/>
          <w:sz w:val="16"/>
          <w:szCs w:val="16"/>
          <w:color w:val="auto"/>
        </w:rPr>
        <w:t xml:space="preserve"> De Index past strenge schermen toe om bepaalde effecten op basis van de sharia-beginselen uit te sluiten in overeenstemming met het door de indexaanbieder benoemde Sharia-bestuur.</w:t>
      </w:r>
      <w:r>
        <w:rPr xmlns:w="http://schemas.openxmlformats.org/wordprocessingml/2006/main">
          <w:rFonts w:ascii="Arial" w:cs="Arial" w:eastAsia="Arial" w:hAnsi="Arial"/>
          <w:sz w:val="16"/>
          <w:szCs w:val="16"/>
          <w:color w:val="auto"/>
        </w:rPr>
        <w:t xml:space="preserve"> De index wordt gewogen naar marktkapitalisatie.</w:t>
      </w:r>
      <w:r>
        <w:rPr xmlns:w="http://schemas.openxmlformats.org/wordprocessingml/2006/main">
          <w:rFonts w:ascii="Arial" w:cs="Arial" w:eastAsia="Arial" w:hAnsi="Arial"/>
          <w:sz w:val="16"/>
          <w:szCs w:val="16"/>
          <w:color w:val="auto"/>
        </w:rPr>
        <w:t xml:space="preserve"> Marktkapitalisatie is de aandelenkoers van de onderneming vermenigvuldigd met het aantal uitgegeven aandelen.</w:t>
      </w:r>
    </w:p>
    <w:p>
      <w:pPr>
        <w:spacing w:after="0" w:line="28"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is van plan de Index te repliceren door alle effecten in aandelen die deel uitmaken van de Index, in vergelijkbare verhoudingen aan te houden.</w:t>
      </w:r>
      <w:r>
        <w:rPr xmlns:w="http://schemas.openxmlformats.org/wordprocessingml/2006/main">
          <w:rFonts w:ascii="Arial" w:cs="Arial" w:eastAsia="Arial" w:hAnsi="Arial"/>
          <w:sz w:val="16"/>
          <w:szCs w:val="16"/>
          <w:color w:val="auto"/>
        </w:rPr>
        <w:t xml:space="preserve"> Dit kan ook het gebruik van financiële derivaten (BDI) omvatten (d.w.z. beleggingen waarvan de prijzen op een of meer onderliggende activa zijn gebaseerd).</w:t>
      </w:r>
    </w:p>
    <w:p>
      <w:pPr>
        <w:spacing w:after="0" w:line="28" w:lineRule="exact"/>
        <w:rPr>
          <w:sz w:val="24"/>
          <w:szCs w:val="24"/>
          <w:color w:val="auto"/>
        </w:rPr>
      </w:pPr>
    </w:p>
    <w:p>
      <w:pPr xmlns:w="http://schemas.openxmlformats.org/wordprocessingml/2006/main">
        <w:ind w:left="140" w:right="1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Voor zover dit in overeenstemming is met de Shari’ah-beginselen, kan het Fonds beleggen in American Depositary Receipts (ADR’s), Global Depositary Receipts (GDR’s) en andere fondsen om blootstelling te verkrijgen aan de relevante aandeleneffecten die deel uitmaken van de Index.</w:t>
      </w:r>
      <w:r>
        <w:rPr xmlns:w="http://schemas.openxmlformats.org/wordprocessingml/2006/main">
          <w:rFonts w:ascii="Arial" w:cs="Arial" w:eastAsia="Arial" w:hAnsi="Arial"/>
          <w:sz w:val="16"/>
          <w:szCs w:val="16"/>
          <w:color w:val="auto"/>
        </w:rPr>
        <w:t xml:space="preserve"> ADR's en DDR's zijn beleggingen die zijn uitgegeven door financiële instellingen die blootstaan aan onderliggende effecten in aandelen.</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Dit fonds is vastbesloten om te voldoen aan de Shari’ah-principes en is gericht op islamitische investeerders.</w:t>
      </w:r>
      <w:r>
        <w:rPr xmlns:w="http://schemas.openxmlformats.org/wordprocessingml/2006/main">
          <w:rFonts w:ascii="Arial" w:cs="Arial" w:eastAsia="Arial" w:hAnsi="Arial"/>
          <w:sz w:val="15"/>
          <w:szCs w:val="15"/>
          <w:color w:val="auto"/>
        </w:rPr>
        <w:t xml:space="preserve"> De inschrijving staat echter open voor elke andere belegger.</w:t>
      </w:r>
    </w:p>
    <w:p>
      <w:pPr>
        <w:spacing w:after="0" w:line="60"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Aanbeveling: Dit Fonds is geschikt voor investeringen op middellange tot lange termijn, hoewel het Fonds ook geschikt kan zijn voor blootstelling op kortere termijn aan de Index.</w:t>
      </w:r>
    </w:p>
    <w:p>
      <w:pPr>
        <w:spacing w:after="0" w:line="59" w:lineRule="exact"/>
        <w:rPr>
          <w:sz w:val="24"/>
          <w:szCs w:val="24"/>
          <w:color w:val="auto"/>
        </w:rPr>
      </w:pPr>
    </w:p>
    <w:p>
      <w:pPr xmlns:w="http://schemas.openxmlformats.org/wordprocessingml/2006/main">
        <w:ind w:left="140" w:right="1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aandelen verdelen (d.w.z. inkomsten zullen halfjaarlijks op de aandelen worden uitbetaald).</w:t>
      </w:r>
      <w:r>
        <w:rPr xmlns:w="http://schemas.openxmlformats.org/wordprocessingml/2006/main">
          <w:rFonts w:ascii="Arial" w:cs="Arial" w:eastAsia="Arial" w:hAnsi="Arial"/>
          <w:sz w:val="16"/>
          <w:szCs w:val="16"/>
          <w:color w:val="auto"/>
        </w:rPr>
        <w:t xml:space="preserve"> De dividenden kunnen een deel van de "onzuivere inkomsten" (d.w.z. inkomsten die verboden zijn op grond van de Shari'ah-beginselen) omvatten die aan beleggers zullen worden gemeld.</w:t>
      </w:r>
      <w:r>
        <w:rPr xmlns:w="http://schemas.openxmlformats.org/wordprocessingml/2006/main">
          <w:rFonts w:ascii="Arial" w:cs="Arial" w:eastAsia="Arial" w:hAnsi="Arial"/>
          <w:sz w:val="16"/>
          <w:szCs w:val="16"/>
          <w:color w:val="auto"/>
        </w:rPr>
        <w:t xml:space="preserve"> Islamitische investeerders zullen verantwoordelijk zijn voor de zuivering van dergelijke onzuivere inkomsten in overeenstemming met de Shari'ah-principes (bijvoorbeeld door donatie aan liefdadigheid).</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luiden in US Dollar, de basisvaluta van het Fonds.</w:t>
      </w:r>
    </w:p>
    <w:p>
      <w:pPr>
        <w:spacing w:after="0" w:line="4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 zijn genoteerd aan een of meer beurzen en kunnen worden verhandeld in andere valuta's dan hun basisvaluta.</w:t>
      </w:r>
      <w:r>
        <w:rPr xmlns:w="http://schemas.openxmlformats.org/wordprocessingml/2006/main">
          <w:rFonts w:ascii="Arial" w:cs="Arial" w:eastAsia="Arial" w:hAnsi="Arial"/>
          <w:sz w:val="16"/>
          <w:szCs w:val="16"/>
          <w:color w:val="auto"/>
        </w:rPr>
        <w:t xml:space="preserve"> De prestaties van uw aandelen kunnen worden beïnvloed door dit valutaverschil.</w:t>
      </w:r>
      <w:r>
        <w:rPr xmlns:w="http://schemas.openxmlformats.org/wordprocessingml/2006/main">
          <w:rFonts w:ascii="Arial" w:cs="Arial" w:eastAsia="Arial" w:hAnsi="Arial"/>
          <w:sz w:val="16"/>
          <w:szCs w:val="16"/>
          <w:color w:val="auto"/>
        </w:rPr>
        <w:t xml:space="preserve"> In normale omstandigheden mogen alleen geautoriseerde deelnemers (bv. geselecteerde financiële instellingen) rechtstreeks handelen in aandelen (of belangen in aandelen) met het Fonds.</w:t>
      </w:r>
      <w:r>
        <w:rPr xmlns:w="http://schemas.openxmlformats.org/wordprocessingml/2006/main">
          <w:rFonts w:ascii="Arial" w:cs="Arial" w:eastAsia="Arial" w:hAnsi="Arial"/>
          <w:sz w:val="16"/>
          <w:szCs w:val="16"/>
          <w:color w:val="auto"/>
        </w:rPr>
        <w:t xml:space="preserve"> Andere beleggers kunnen dagelijks handelen in aandelen (of belangen in aandelen) via een intermediair op de beurs (en) waarop de aandelen worden verhandeld.</w:t>
      </w:r>
      <w:r>
        <w:rPr xmlns:w="http://schemas.openxmlformats.org/wordprocessingml/2006/main">
          <w:rFonts w:ascii="Arial" w:cs="Arial" w:eastAsia="Arial" w:hAnsi="Arial"/>
          <w:sz w:val="16"/>
          <w:szCs w:val="16"/>
          <w:color w:val="auto"/>
        </w:rPr>
        <w:t xml:space="preserve"> De indicatieve intrinsieke waarde wordt gepubliceerd op de desbetreffende websites van de effectenbeurzen.</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Voor meer informatie over het Fonds, Aandelenklasse, risico's en kosten, zie het prospectus van het Fonds, beschikbaar op de productpagina's op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Risico- en beloningsprofiel</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Minder risico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Hoger risico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Typisch lagere beloningen</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Doorgaans hogere beloningen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Deze indicator is gebaseerd op historische gegevens en is mogelijk geen betrouwbare indicatie van het toekomstige risicoprofiel van deze aandelenklasse.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weergegeven risicocategorie is niet gegarandeerd en kan in de loop van de tijd veranderen.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laagste categorie betekent niet risicovrij.</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De Aandelenklasse heeft een rating van zes vanwege de aard van haar beleggingen, waaronder de hieronder vermelde risico's.</w:t>
      </w:r>
      <w:r>
        <w:rPr xmlns:w="http://schemas.openxmlformats.org/wordprocessingml/2006/main">
          <w:rFonts w:ascii="Arial" w:cs="Arial" w:eastAsia="Arial" w:hAnsi="Arial"/>
          <w:sz w:val="16"/>
          <w:szCs w:val="16"/>
          <w:color w:val="auto"/>
        </w:rPr>
        <w:t xml:space="preserve"> Deze factoren kunnen de waarde van de aandelenklasse beïnvloeden of de aandelenklasse blootstellen aan verliezen.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De waarde van aandelen en aandelengerelateerde effecten kan worden beïnvloed door dagelijkse bewegingen op de aandelenmarkt.</w:t>
      </w:r>
      <w:r>
        <w:rPr xmlns:w="http://schemas.openxmlformats.org/wordprocessingml/2006/main">
          <w:rFonts w:ascii="Arial" w:cs="Arial" w:eastAsia="Arial" w:hAnsi="Arial"/>
          <w:sz w:val="15"/>
          <w:szCs w:val="15"/>
          <w:color w:val="auto"/>
        </w:rPr>
        <w:t xml:space="preserve"> Andere invloedrijke factoren zijn politiek, economisch nieuws, bedrijfswinsten en belangrijke bedrijfsevenementen.</w:t>
      </w:r>
    </w:p>
    <w:p>
      <w:pPr xmlns:w="http://schemas.openxmlformats.org/wordprocessingml/2006/main">
        <w:ind w:left="160" w:hanging="159"/>
        <w:spacing w:after="0" w:line="186" w:lineRule="auto"/>
        <w:tabs>
          <w:tab w:leader="none" w:pos="160" w:val="left"/>
        </w:tabs>
        <w:numPr>
          <w:ilvl w:val="0"/>
          <w:numId w:val="1"/>
        </w:numPr>
        <w:rPr>
          <w:rFonts w:ascii="Arial" w:cs="Arial" w:eastAsia="Arial" w:hAnsi="Arial"/>
          <w:sz w:val="26"/>
          <w:szCs w:val="26"/>
          <w:color w:val="auto"/>
          <w:vertAlign w:val="subscript"/>
        </w:rPr>
      </w:pPr>
      <w:r>
        <w:rPr xmlns:w="http://schemas.openxmlformats.org/wordprocessingml/2006/main">
          <w:rFonts w:ascii="Arial" w:cs="Arial" w:eastAsia="Arial" w:hAnsi="Arial"/>
          <w:sz w:val="13"/>
          <w:szCs w:val="13"/>
          <w:color w:val="auto"/>
        </w:rPr>
        <w:t xml:space="preserve">Shari'ah-fondsen betalen over het algemeen geen rente en mogen niet beleggen</w:t>
      </w:r>
    </w:p>
    <w:p>
      <w:pPr>
        <w:spacing w:after="0" w:line="55" w:lineRule="exact"/>
        <w:rPr>
          <w:sz w:val="24"/>
          <w:szCs w:val="24"/>
          <w:color w:val="auto"/>
        </w:rPr>
      </w:pPr>
    </w:p>
    <w:p>
      <w:pPr xmlns:w="http://schemas.openxmlformats.org/wordprocessingml/2006/main">
        <w:ind w:left="160" w:right="34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in bedrijven die volgens de islamitische principes onwettig zijn.</w:t>
      </w:r>
      <w:r>
        <w:rPr xmlns:w="http://schemas.openxmlformats.org/wordprocessingml/2006/main">
          <w:rFonts w:ascii="Arial" w:cs="Arial" w:eastAsia="Arial" w:hAnsi="Arial"/>
          <w:sz w:val="16"/>
          <w:szCs w:val="16"/>
          <w:color w:val="auto"/>
        </w:rPr>
        <w:t xml:space="preserve"> Als gevolg hiervan kunnen ze anders presteren dan andere fondsen die de islamitische principes niet volgen.</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Bijzondere risico’s die niet adequaat door de risico-indicator worden bestreken, zijn: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7"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Tegenpartijrisico: Insolventie van instellingen die diensten verlenen, zoals de bewaring van activa of die optreden als tegenpartij bij derivaten of andere instrumenten, kan de aandelenklasse blootstellen aan financieel verlies.</w:t>
      </w:r>
    </w:p>
    <w:p>
      <w:pPr>
        <w:spacing w:after="0" w:line="473"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3"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De benchmark is het intellectuele eigendom van de indexaanbieder.</w:t>
      </w:r>
      <w:r>
        <w:rPr xmlns:w="http://schemas.openxmlformats.org/wordprocessingml/2006/main">
          <w:rFonts w:ascii="Arial" w:cs="Arial" w:eastAsia="Arial" w:hAnsi="Arial"/>
          <w:sz w:val="12"/>
          <w:szCs w:val="12"/>
          <w:color w:val="auto"/>
        </w:rPr>
        <w:t xml:space="preserve"> De aandelenklasse wordt niet gesponsord of onderschreven door de indexaanbieder.</w:t>
      </w:r>
      <w:r>
        <w:rPr xmlns:w="http://schemas.openxmlformats.org/wordprocessingml/2006/main">
          <w:rFonts w:ascii="Arial" w:cs="Arial" w:eastAsia="Arial" w:hAnsi="Arial"/>
          <w:sz w:val="12"/>
          <w:szCs w:val="12"/>
          <w:color w:val="auto"/>
        </w:rPr>
        <w:t xml:space="preserve"> Raadpleeg het prospectus van het Fonds voor volledige disclaimer.</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lasten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3561715</wp:posOffset>
            </wp:positionH>
            <wp:positionV relativeFrom="paragraph">
              <wp:posOffset>97155</wp:posOffset>
            </wp:positionV>
            <wp:extent cx="3208020" cy="1727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208020" cy="17272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De kosten worden gebruikt om de kosten van het beheer van de aandelenklasse te betalen, inclusief de kosten van marketing en distributie ervan.</w:t>
      </w:r>
      <w:r>
        <w:rPr xmlns:w="http://schemas.openxmlformats.org/wordprocessingml/2006/main">
          <w:rFonts w:ascii="Arial" w:cs="Arial" w:eastAsia="Arial" w:hAnsi="Arial"/>
          <w:sz w:val="16"/>
          <w:szCs w:val="16"/>
          <w:color w:val="auto"/>
        </w:rPr>
        <w:t xml:space="preserve"> Deze kosten verminderen de potentiële groei van uw investering.</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op een beurs handelen, betalen kosten die door hun effectenmakelaars in rekening worden gebracht.</w:t>
      </w:r>
      <w:r>
        <w:rPr xmlns:w="http://schemas.openxmlformats.org/wordprocessingml/2006/main">
          <w:rFonts w:ascii="Arial" w:cs="Arial" w:eastAsia="Arial" w:hAnsi="Arial"/>
          <w:sz w:val="16"/>
          <w:szCs w:val="16"/>
          <w:color w:val="auto"/>
        </w:rPr>
        <w:t xml:space="preserve"> Dergelijke kosten zijn openbaar beschikbaar op beurzen waarop de aandelen worden genoteerd en verhandeld, of kunnen worden verkregen van effectenmakelaars.</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*Geautoriseerde deelnemers die rechtstreeks met het Fonds handelen, betalen de bijbehorende transactiekosten, inclusief, bij aflossingen, eventuele toepasselijke vermogenswinstbelasting (CGT) en andere belastingen op onderliggende effecten.</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Het doorlopende kostencijfer is gebaseerd op de vaste jaarlijkse vergoeding die aan de aandelenklasse wordt aangerekend in overeenstemming met het prospectus van het fonds.</w:t>
      </w:r>
      <w:r>
        <w:rPr xmlns:w="http://schemas.openxmlformats.org/wordprocessingml/2006/main">
          <w:rFonts w:ascii="Arial" w:cs="Arial" w:eastAsia="Arial" w:hAnsi="Arial"/>
          <w:sz w:val="15"/>
          <w:szCs w:val="15"/>
          <w:color w:val="auto"/>
        </w:rPr>
        <w:t xml:space="preserve"> In dit cijfer zijn de kosten in verband met de handel in effecten niet inbegrepen, behalve de kosten die aan de bewaarder worden betaald en de eventuele in- en uitstapkosten die aan een onderliggend stelsel voor collectieve belegging worden betaald.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67"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Eenmalige kosten die voor of na uw investering zijn gemaakt</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invoerrecht</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exitkosten</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Dit is het maximum dat uit uw geld kan worden gehaald voordat het wordt geïnvesteerd of voordat de opbrengst van uw investeringen wordt uitbetaald.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Kosten die elk jaar uit de aandelenklasse worden gehaald</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Doorlopende kosten</w:t>
            </w:r>
          </w:p>
        </w:tc>
        <w:tc>
          <w:tcPr>
            <w:tcW w:w="780" w:type="dxa"/>
            <w:vAlign w:val="bottom"/>
          </w:tcPr>
          <w:p>
            <w:pPr>
              <w:spacing w:after="0"/>
              <w:rPr>
                <w:sz w:val="20"/>
                <w:szCs w:val="20"/>
                <w:color w:val="auto"/>
              </w:rPr>
            </w:pPr>
          </w:p>
        </w:tc>
        <w:tc>
          <w:tcPr>
            <w:tcW w:w="76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0,30%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760" w:type="dxa"/>
            <w:vAlign w:val="bottom"/>
            <w:tcBorders>
              <w:bottom w:val="single" w:sz="8" w:color="auto"/>
              <w:right w:val="single" w:sz="8" w:color="auto"/>
            </w:tcBorders>
          </w:tcPr>
          <w:p>
            <w:pPr>
              <w:spacing w:after="0"/>
              <w:rPr>
                <w:sz w:val="2"/>
                <w:szCs w:val="2"/>
                <w:color w:val="auto"/>
              </w:rPr>
            </w:pPr>
          </w:p>
        </w:tc>
      </w:tr>
      <w:tr>
        <w:trPr>
          <w:trHeight w:val="264"/>
        </w:trPr>
        <w:tc>
          <w:tcPr>
            <w:tcW w:w="432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7"/>
              </w:rPr>
              <w:t xml:space="preserve">Kosten die onder bepaalde voorwaarden uit de aandelenklasse worden gehaald</w:t>
            </w:r>
          </w:p>
        </w:tc>
        <w:tc>
          <w:tcPr>
            <w:tcW w:w="76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prestatievergoeding</w:t>
            </w:r>
          </w:p>
        </w:tc>
        <w:tc>
          <w:tcPr>
            <w:tcW w:w="780" w:type="dxa"/>
            <w:vAlign w:val="bottom"/>
            <w:tcBorders>
              <w:bottom w:val="single" w:sz="8" w:color="auto"/>
            </w:tcBorders>
          </w:tcPr>
          <w:p>
            <w:pPr>
              <w:spacing w:after="0"/>
              <w:rPr>
                <w:sz w:val="21"/>
                <w:szCs w:val="21"/>
                <w:color w:val="auto"/>
              </w:rPr>
            </w:pPr>
          </w:p>
        </w:tc>
        <w:tc>
          <w:tcPr>
            <w:tcW w:w="76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Geen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994"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Prestaties uit het verleden zijn geen leidraad voor toekomstige prestaties.</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De grafiek toont de jaarlijkse prestaties van de aandelenklasse in USD voor elk volledig kalenderjaar over de periode die in de grafiek wordt weergegeven.</w:t>
      </w:r>
      <w:r>
        <w:rPr xmlns:w="http://schemas.openxmlformats.org/wordprocessingml/2006/main">
          <w:rFonts w:ascii="Arial" w:cs="Arial" w:eastAsia="Arial" w:hAnsi="Arial"/>
          <w:sz w:val="15"/>
          <w:szCs w:val="15"/>
          <w:color w:val="auto"/>
        </w:rPr>
        <w:t xml:space="preserve"> Het wordt uitgedrukt als een procentuele verandering van de intrinsieke waarde van de aandelenklasse aan het einde van elk jaar.</w:t>
      </w:r>
      <w:r>
        <w:rPr xmlns:w="http://schemas.openxmlformats.org/wordprocessingml/2006/main">
          <w:rFonts w:ascii="Arial" w:cs="Arial" w:eastAsia="Arial" w:hAnsi="Arial"/>
          <w:sz w:val="15"/>
          <w:szCs w:val="15"/>
          <w:color w:val="auto"/>
        </w:rPr>
        <w:t xml:space="preserve"> Het fonds werd in 2007 opgericht.</w:t>
      </w:r>
      <w:r>
        <w:rPr xmlns:w="http://schemas.openxmlformats.org/wordprocessingml/2006/main">
          <w:rFonts w:ascii="Arial" w:cs="Arial" w:eastAsia="Arial" w:hAnsi="Arial"/>
          <w:sz w:val="15"/>
          <w:szCs w:val="15"/>
          <w:color w:val="auto"/>
        </w:rPr>
        <w:t xml:space="preserve"> De Share Class werd gelanceerd in 2007.</w:t>
      </w:r>
      <w:r>
        <w:rPr xmlns:w="http://schemas.openxmlformats.org/wordprocessingml/2006/main">
          <w:rFonts w:ascii="Arial" w:cs="Arial" w:eastAsia="Arial" w:hAnsi="Arial"/>
          <w:sz w:val="15"/>
          <w:szCs w:val="15"/>
          <w:color w:val="auto"/>
        </w:rPr>
        <w:t xml:space="preserve"> De prestaties worden getoond na aftrek van lopende kosten.</w:t>
      </w:r>
      <w:r>
        <w:rPr xmlns:w="http://schemas.openxmlformats.org/wordprocessingml/2006/main">
          <w:rFonts w:ascii="Arial" w:cs="Arial" w:eastAsia="Arial" w:hAnsi="Arial"/>
          <w:sz w:val="15"/>
          <w:szCs w:val="15"/>
          <w:color w:val="auto"/>
        </w:rPr>
        <w:t xml:space="preserve"> Eventuele in- en uitstapkosten zijn van de berekening uitgesloten.</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 MSCI World Islamic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Historische voorstelling tot 31 december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fonds</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19,1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22,0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-11,8</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22,9</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64"/>
        </w:trPr>
        <w:tc>
          <w:tcPr>
            <w:tcW w:w="140" w:type="dxa"/>
            <w:vAlign w:val="bottom"/>
            <w:shd w:val="clear" w:color="auto" w:fill="FFCE00"/>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Benchmark †</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19,5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22,5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22,0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-11,7</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22,8</w:t>
            </w: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Praktische informatie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bewaarder van het fonds is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Meer informatie over het fonds en de aandelenklasse is te vinden in het laatste jaarverslag en halfjaarlijkse rapporten van iShares II plc.</w:t>
      </w:r>
      <w:r>
        <w:rPr xmlns:w="http://schemas.openxmlformats.org/wordprocessingml/2006/main">
          <w:rFonts w:ascii="Arial" w:cs="Arial" w:eastAsia="Arial" w:hAnsi="Arial"/>
          <w:sz w:val="14"/>
          <w:szCs w:val="14"/>
          <w:color w:val="auto"/>
        </w:rPr>
        <w:t xml:space="preserve"> Deze documenten zijn gratis beschikbaar in het Engels en in bepaalde andere talen.</w:t>
      </w:r>
      <w:r>
        <w:rPr xmlns:w="http://schemas.openxmlformats.org/wordprocessingml/2006/main">
          <w:rFonts w:ascii="Arial" w:cs="Arial" w:eastAsia="Arial" w:hAnsi="Arial"/>
          <w:sz w:val="14"/>
          <w:szCs w:val="14"/>
          <w:color w:val="auto"/>
        </w:rPr>
        <w:t xml:space="preserve"> Deze zijn, samen met andere informatie, zoals details over de belangrijkste onderliggende beleggingen van de aandelenklasse en aandelenkoersen, te vinden op de iShares-website op www.ishares.com of door te bellen naar +44 (0)845 357 7000 of van uw makelaar of financieel adviseur.</w:t>
      </w:r>
      <w:r>
        <w:rPr xmlns:w="http://schemas.openxmlformats.org/wordprocessingml/2006/main">
          <w:rFonts w:ascii="Arial" w:cs="Arial" w:eastAsia="Arial" w:hAnsi="Arial"/>
          <w:sz w:val="14"/>
          <w:szCs w:val="14"/>
          <w:color w:val="auto"/>
        </w:rPr>
        <w:t xml:space="preserve"> Beleggers moeten er rekening mee houden dat de belastingwetgeving die van toepassing is op het Fonds en de Aandelenklasse van invloed kan zijn op de persoonlijke belastingpositie van uw belegging.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28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Het Fonds is een subfonds van iShares II plc, een overkoepelende structuur die verschillende subfondsen omvat.</w:t>
      </w:r>
      <w:r>
        <w:rPr xmlns:w="http://schemas.openxmlformats.org/wordprocessingml/2006/main">
          <w:rFonts w:ascii="Arial" w:cs="Arial" w:eastAsia="Arial" w:hAnsi="Arial"/>
          <w:sz w:val="14"/>
          <w:szCs w:val="14"/>
          <w:color w:val="auto"/>
        </w:rPr>
        <w:t xml:space="preserve"> Het fonds heeft een of meer aandelenklassen.</w:t>
      </w:r>
      <w:r>
        <w:rPr xmlns:w="http://schemas.openxmlformats.org/wordprocessingml/2006/main">
          <w:rFonts w:ascii="Arial" w:cs="Arial" w:eastAsia="Arial" w:hAnsi="Arial"/>
          <w:sz w:val="14"/>
          <w:szCs w:val="14"/>
          <w:color w:val="auto"/>
        </w:rPr>
        <w:t xml:space="preserve"> Dit document is specifiek voor de klasse Fund en Share die aan het begin van dit document worden vermeld.</w:t>
      </w:r>
      <w:r>
        <w:rPr xmlns:w="http://schemas.openxmlformats.org/wordprocessingml/2006/main">
          <w:rFonts w:ascii="Arial" w:cs="Arial" w:eastAsia="Arial" w:hAnsi="Arial"/>
          <w:sz w:val="14"/>
          <w:szCs w:val="14"/>
          <w:color w:val="auto"/>
        </w:rPr>
        <w:t xml:space="preserve"> Wel worden het prospectus, jaar- en halfjaarlijkse rapporten opgesteld voor de paraplu.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iShares II plc kan uitsluitend aansprakelijk worden gesteld op basis van een verklaring in dit document die misleidend, onnauwkeurig of niet in overeenstemming is met de relevante delen van het prospectus van het Fonds.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indicatieve intra-day nettovermogenswaarde van de aandelenklasse wordt gepubliceerd op relevante websites van beurzen.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Naar Iers recht heeft iShares II plc de aansprakelijkheid verdeeld over haar subfondsen (d.w.z. de activa van het Fonds zullen niet worden gebruikt om de verplichtingen van andere subfondsen binnen iShares II plc te voldoen).</w:t>
      </w:r>
      <w:r>
        <w:rPr xmlns:w="http://schemas.openxmlformats.org/wordprocessingml/2006/main">
          <w:rFonts w:ascii="Arial" w:cs="Arial" w:eastAsia="Arial" w:hAnsi="Arial"/>
          <w:sz w:val="15"/>
          <w:szCs w:val="15"/>
          <w:color w:val="auto"/>
        </w:rPr>
        <w:t xml:space="preserve"> Daarnaast worden de activa van het Fonds gescheiden gehouden van de activa van andere subfondsen.</w:t>
      </w:r>
      <w:r>
        <w:rPr xmlns:w="http://schemas.openxmlformats.org/wordprocessingml/2006/main">
          <w:rFonts w:ascii="Arial" w:cs="Arial" w:eastAsia="Arial" w:hAnsi="Arial"/>
          <w:sz w:val="15"/>
          <w:szCs w:val="15"/>
          <w:color w:val="auto"/>
        </w:rPr>
        <w:t xml:space="preserve"> Activa en passiva die specifiek zijn voor een aandelenklasse zouden alleen aan die aandelenklasse kunnen worden toegerekend, maar volgens de Ierse wetgeving is er geen scheiding van passiva tussen aandelenklassen.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Het wisselen van aandelen tussen het Fonds en andere subfondsen binnen iShares II plc is niet beschikbaar voor beleggers.</w:t>
      </w:r>
      <w:r>
        <w:rPr xmlns:w="http://schemas.openxmlformats.org/wordprocessingml/2006/main">
          <w:rFonts w:ascii="Arial" w:cs="Arial" w:eastAsia="Arial" w:hAnsi="Arial"/>
          <w:sz w:val="16"/>
          <w:szCs w:val="16"/>
          <w:color w:val="auto"/>
        </w:rPr>
        <w:t xml:space="preserve"> Alleen geautoriseerde deelnemers die rechtstreeks met het Fonds handelen, mogen van aandelen wisselen tussen aandelenklassen van het Fonds, mits zij aan bepaalde voorwaarden in het prospectus van het Fonds voldoen.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Het Beloningsbeleid van de Beheermaatschappij, waarin wordt beschreven hoe beloning en uitkeringen worden bepaald en toegekend, en de bijbehorende governanceregelingen, is beschikbaar op www.blackrock.com/Remunerationpolicy of op verzoek van de statutaire zetel van de Beheermaatschappij.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2014855</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Dit Fonds en zijn manager, BlackRock Asset Management Ireland Limited, zijn geautoriseerd in Ierland en worden gereguleerd door de Central Bank of Ireland.</w:t>
      </w:r>
      <w:r>
        <w:rPr xmlns:w="http://schemas.openxmlformats.org/wordprocessingml/2006/main">
          <w:rFonts w:ascii="Arial" w:cs="Arial" w:eastAsia="Arial" w:hAnsi="Arial"/>
          <w:sz w:val="14"/>
          <w:szCs w:val="14"/>
          <w:color w:val="auto"/>
        </w:rPr>
        <w:t xml:space="preserve"> Deze essentiële beleggersinformatie is nauwkeurig op 29 januari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FBF288"/>
    <w:multiLevelType w:val="hybridMultilevel"/>
    <w:lvl w:ilvl="0">
      <w:lvlJc w:val="left"/>
      <w:lvlText w:val="-"/>
      <w:numFmt w:val="bullet"/>
      <w:start w:val="1"/>
    </w:lvl>
  </w:abstractNum>
  <w:abstractNum w:abstractNumId="1">
    <w:nsid w:val="5B1EF368"/>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2024-06-24T11:48:45Z</dcterms:created>
  <dcterms:modified xsi:type="dcterms:W3CDTF">2024-06-24T11:48:45Z</dcterms:modified>
</cp:coreProperties>
</file>