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Belangrijke beleggersinformatie</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32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High Dividend Yield</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Distributie</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320" w:type="dxa"/>
            <w:vAlign w:val="bottom"/>
            <w:shd w:val="clear" w:color="auto" w:fill="E2E2E2"/>
          </w:tcPr>
          <w:p>
            <w:pPr xmlns:w="http://schemas.openxmlformats.org/wordprocessingml/2006/main">
              <w:spacing w:after="0" w:line="240" w:lineRule="exact"/>
              <w:rPr>
                <w:sz w:val="20"/>
                <w:szCs w:val="20"/>
                <w:color w:val="auto"/>
              </w:rPr>
            </w:pPr>
            <w:r>
              <w:rPr xmlns:w="http://schemas.openxmlformats.org/wordprocessingml/2006/main">
                <w:rFonts w:ascii="Arial" w:cs="Arial" w:eastAsia="Arial" w:hAnsi="Arial"/>
                <w:sz w:val="24"/>
                <w:szCs w:val="24"/>
                <w:b w:val="1"/>
                <w:bCs w:val="1"/>
                <w:color w:val="231F20"/>
              </w:rPr>
              <w:t xml:space="preserve">ICBE ETF (het "Fonds")</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IE00B8GKDB10</w:t>
            </w:r>
          </w:p>
        </w:tc>
        <w:tc>
          <w:tcPr>
            <w:tcW w:w="0" w:type="dxa"/>
            <w:vAlign w:val="bottom"/>
          </w:tcPr>
          <w:p>
            <w:pPr>
              <w:spacing w:after="0"/>
              <w:rPr>
                <w:sz w:val="1"/>
                <w:szCs w:val="1"/>
                <w:color w:val="auto"/>
              </w:rPr>
            </w:pPr>
          </w:p>
        </w:tc>
      </w:tr>
      <w:tr>
        <w:trPr>
          <w:trHeight w:val="216"/>
        </w:trPr>
        <w:tc>
          <w:tcPr>
            <w:tcW w:w="200" w:type="dxa"/>
            <w:vAlign w:val="bottom"/>
            <w:shd w:val="clear" w:color="auto" w:fill="E2E2E2"/>
          </w:tcPr>
          <w:p>
            <w:pPr>
              <w:spacing w:after="0"/>
              <w:rPr>
                <w:sz w:val="18"/>
                <w:szCs w:val="18"/>
                <w:color w:val="auto"/>
              </w:rPr>
            </w:pPr>
          </w:p>
        </w:tc>
        <w:tc>
          <w:tcPr>
            <w:tcW w:w="532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Een subfonds van Vanguard Funds PLC</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color w:val="231F20"/>
              </w:rPr>
              <w:t xml:space="preserve">Manager: Vanguard Group (Ireland) Limited ("VGIL")</w:t>
            </w: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vMerge w:val="continue"/>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320" w:type="dxa"/>
            <w:vAlign w:val="bottom"/>
            <w:tcBorders>
              <w:bottom w:val="single" w:sz="8" w:color="231F20"/>
            </w:tcBorders>
          </w:tcPr>
          <w:p>
            <w:pPr>
              <w:spacing w:after="0"/>
              <w:rPr>
                <w:sz w:val="17"/>
                <w:szCs w:val="17"/>
                <w:color w:val="auto"/>
              </w:rPr>
            </w:pPr>
          </w:p>
        </w:tc>
        <w:tc>
          <w:tcPr>
            <w:tcW w:w="546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w:sectPr>
          <w:pgSz w:w="11900" w:h="16884" w:orient="portrait"/>
          <w:cols w:equalWidth="0" w:num="1">
            <w:col w:w="11180"/>
          </w:cols>
          <w:pgMar w:left="360" w:top="969" w:right="360" w:bottom="0" w:gutter="0" w:footer="0" w:header="0"/>
        </w:sect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Doelstellingen en investeringsbeleid</w:t>
      </w:r>
    </w:p>
    <w:p>
      <w:pPr>
        <w:spacing w:after="0" w:line="138" w:lineRule="exact"/>
        <w:rPr>
          <w:sz w:val="24"/>
          <w:szCs w:val="24"/>
          <w:color w:val="auto"/>
        </w:rPr>
      </w:pPr>
    </w:p>
    <w:p>
      <w:pPr xmlns:w="http://schemas.openxmlformats.org/wordprocessingml/2006/main">
        <w:jc w:val="both"/>
        <w:ind w:left="340" w:hanging="139"/>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Het Fonds hanteert een passieve benadering van het beheer – of de indexering – van beleggingen, door middel van de fysieke verwerving van effecten, en tracht de prestaties van de FTSE All-World High Dividend Yield Index (de "Index") te volgen.</w:t>
      </w:r>
    </w:p>
    <w:p>
      <w:pPr>
        <w:spacing w:after="0" w:line="1"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index bestaat uit grote en middelgrote bedrijfsaandelen, met uitzondering van vastgoedtrusts, in ontwikkelde en opkomende markten die dividenden uitkeren die over het algemeen hoger zijn dan gemiddeld.</w:t>
      </w: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probeert:</w:t>
      </w:r>
    </w:p>
    <w:p>
      <w:pPr>
        <w:spacing w:after="0" w:line="9" w:lineRule="exact"/>
        <w:rPr>
          <w:rFonts w:ascii="Arial" w:cs="Arial" w:eastAsia="Arial" w:hAnsi="Arial"/>
          <w:sz w:val="16"/>
          <w:szCs w:val="16"/>
          <w:color w:val="231F20"/>
        </w:rPr>
      </w:pPr>
    </w:p>
    <w:p>
      <w:pPr xmlns:w="http://schemas.openxmlformats.org/wordprocessingml/2006/main">
        <w:ind w:left="340"/>
        <w:spacing w:after="0" w:line="208" w:lineRule="auto"/>
        <w:tabs>
          <w:tab w:leader="none" w:pos="529"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Volg de prestaties van de index door te beleggen in een representatieve steekproef van indexdeeleffecten.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5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Volledig belegd blijven en kleine hoeveelheden contant geld aanhouden, behalve in buitengewone marktomstandigheden, politieke of soortgelijke omstandigheden waarin het Fonds tijdelijk van dit beleggingsbeleid kan afwijken om verliezen te voorkomen.</w:t>
      </w:r>
    </w:p>
    <w:p>
      <w:pPr>
        <w:spacing w:after="0" w:line="1" w:lineRule="exact"/>
        <w:rPr>
          <w:sz w:val="24"/>
          <w:szCs w:val="24"/>
          <w:color w:val="auto"/>
        </w:rPr>
      </w:pPr>
    </w:p>
    <w:p>
      <w:pPr xmlns:w="http://schemas.openxmlformats.org/wordprocessingml/2006/main">
        <w:jc w:val="both"/>
        <w:ind w:left="340" w:hanging="139"/>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2 Het Fonds kan derivaten gebruiken om risico’s of kosten te verminderen en/of extra inkomsten of groei te genereren.</w:t>
      </w:r>
      <w:r>
        <w:rPr xmlns:w="http://schemas.openxmlformats.org/wordprocessingml/2006/main">
          <w:rFonts w:ascii="Arial" w:cs="Arial" w:eastAsia="Arial" w:hAnsi="Arial"/>
          <w:sz w:val="16"/>
          <w:szCs w:val="16"/>
          <w:color w:val="231F20"/>
        </w:rPr>
        <w:t xml:space="preserve"> Een derivaat is een financieel contract waarvan de waarde is gebaseerd op de waarde van een financieel actief (zoals een aandeel, obligatie of valuta) of een marktindex.</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basisvaluta van het fonds is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belegt in effecten die luiden in andere valuta dan de valuta van de notering.</w:t>
      </w:r>
      <w:r>
        <w:rPr xmlns:w="http://schemas.openxmlformats.org/wordprocessingml/2006/main">
          <w:rFonts w:ascii="Arial" w:cs="Arial" w:eastAsia="Arial" w:hAnsi="Arial"/>
          <w:sz w:val="16"/>
          <w:szCs w:val="16"/>
          <w:color w:val="231F20"/>
        </w:rPr>
        <w:t xml:space="preserve"> Veranderingen in wisselkoersen kunnen het rendement van investeringen beïnvloeden.</w:t>
      </w: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kan op korte termijn gedekte leningen van zijn investeringen aan bepaalde in aanmerking komende derden verstrekken.</w:t>
      </w:r>
      <w:r>
        <w:rPr xmlns:w="http://schemas.openxmlformats.org/wordprocessingml/2006/main">
          <w:rFonts w:ascii="Arial" w:cs="Arial" w:eastAsia="Arial" w:hAnsi="Arial"/>
          <w:sz w:val="16"/>
          <w:szCs w:val="16"/>
          <w:color w:val="231F20"/>
        </w:rPr>
        <w:t xml:space="preserve"> Dit wordt gebruikt om extra inkomsten te genereren en de kosten van het Fonds te compenseren.</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is mogelijk niet geschikt voor kortetermijninvesteringen.</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Inkomsten uit de ETF-aandelen worden normaal gesproken elk kwartaal uitbetaald.</w:t>
      </w:r>
    </w:p>
    <w:p>
      <w:pPr>
        <w:spacing w:after="0" w:line="16" w:lineRule="exact"/>
        <w:rPr>
          <w:sz w:val="24"/>
          <w:szCs w:val="24"/>
          <w:color w:val="auto"/>
        </w:rPr>
      </w:pPr>
    </w:p>
    <w:p>
      <w:pPr xmlns:w="http://schemas.openxmlformats.org/wordprocessingml/2006/main">
        <w:jc w:val="right"/>
        <w:ind w:left="200"/>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ETF-aandelen zijn genoteerd aan één of meer beurzen.</w:t>
      </w:r>
      <w:r>
        <w:rPr xmlns:w="http://schemas.openxmlformats.org/wordprocessingml/2006/main">
          <w:rFonts w:ascii="Arial" w:cs="Arial" w:eastAsia="Arial" w:hAnsi="Arial"/>
          <w:sz w:val="16"/>
          <w:szCs w:val="16"/>
          <w:color w:val="231F20"/>
        </w:rPr>
        <w:t xml:space="preserve"> Behoudens bepaalde uitzonderingen die in het Prospectus worden uiteengezet, mogen beleggers die geen Geautoriseerde Deelnemers zijn, ETF-aandelen alleen via een onderneming verkopen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95" w:lineRule="exact"/>
        <w:rPr>
          <w:sz w:val="24"/>
          <w:szCs w:val="24"/>
          <w:color w:val="auto"/>
        </w:rPr>
      </w:pPr>
    </w:p>
    <w:p>
      <w:pPr xmlns:w="http://schemas.openxmlformats.org/wordprocessingml/2006/main">
        <w:ind w:left="140" w:right="340"/>
        <w:spacing w:after="0" w:line="244" w:lineRule="auto"/>
        <w:rPr>
          <w:sz w:val="20"/>
          <w:szCs w:val="20"/>
          <w:color w:val="auto"/>
        </w:rPr>
      </w:pPr>
      <w:r>
        <w:rPr xmlns:w="http://schemas.openxmlformats.org/wordprocessingml/2006/main">
          <w:rFonts w:ascii="Arial" w:cs="Arial" w:eastAsia="Arial" w:hAnsi="Arial"/>
          <w:sz w:val="16"/>
          <w:szCs w:val="16"/>
          <w:color w:val="231F20"/>
        </w:rPr>
        <w:t xml:space="preserve">die lid is van een relevante effectenbeurs op elk moment waarop die effectenbeurs open is voor het bedrijfsleven.</w:t>
      </w: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Transactiekosten van portefeuilles hebben een impact op de prestaties.</w:t>
      </w:r>
    </w:p>
    <w:p>
      <w:pPr>
        <w:spacing w:after="0" w:line="16"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Aandelen in het Fonds kunnen dagelijks worden gekocht of verkocht (behalve op bepaalde feestdagen of feestdagen en met inachtneming van bepaalde beperkingen die in het Supplement worden beschreven) door een schriftelijke of telefonische aanvraag in te dienen.</w:t>
      </w:r>
      <w:r>
        <w:rPr xmlns:w="http://schemas.openxmlformats.org/wordprocessingml/2006/main">
          <w:rFonts w:ascii="Arial" w:cs="Arial" w:eastAsia="Arial" w:hAnsi="Arial"/>
          <w:sz w:val="14"/>
          <w:szCs w:val="14"/>
          <w:color w:val="231F20"/>
        </w:rPr>
        <w:t xml:space="preserve"> Een lijst van de dagen waarop aandelen in het fonds niet kunnen worden gekocht of verkocht, is beschikbaar op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de doelstellingen en het beleggingsbeleid van het Fonds, evenals de beperkte relatie met de Indexaanbieder, zie appendix 1 en appendix 6 van het Vanguard Funds plc Prospectus (het "Prospectus")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1944370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53.1pt" to="267pt,153.1pt" o:allowincell="f" strokecolor="#231F20" strokeweight="0.4pt"/>
            </w:pict>
          </mc:Fallback>
        </mc:AlternateContent>
      </w:r>
    </w:p>
    <w:p>
      <w:pPr>
        <w:spacing w:after="0" w:line="2991" w:lineRule="exact"/>
        <w:rPr>
          <w:sz w:val="24"/>
          <w:szCs w:val="24"/>
          <w:color w:val="auto"/>
        </w:rPr>
      </w:pPr>
    </w:p>
    <w:p>
      <w:pPr>
        <w:sectPr>
          <w:pgSz w:w="11900" w:h="16884" w:orient="portrait"/>
          <w:cols w:equalWidth="0" w:num="2">
            <w:col w:w="5400" w:space="240"/>
            <w:col w:w="5540"/>
          </w:cols>
          <w:pgMar w:left="360" w:top="969" w:right="360" w:bottom="0" w:gutter="0" w:footer="0" w:header="0"/>
          <w:type w:val="continuous"/>
        </w:sectPr>
      </w:pPr>
    </w:p>
    <w:p>
      <w:pPr>
        <w:spacing w:after="0" w:line="147"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Risico- en beloningsprofiel</w:t>
      </w:r>
    </w:p>
    <w:p>
      <w:pPr>
        <w:sectPr>
          <w:pgSz w:w="11900" w:h="16884" w:orient="portrait"/>
          <w:cols w:equalWidth="0" w:num="1">
            <w:col w:w="11180"/>
          </w:cols>
          <w:pgMar w:left="360" w:top="969" w:right="360" w:bottom="0" w:gutter="0" w:footer="0" w:header="0"/>
          <w:type w:val="continuous"/>
        </w:sectPr>
      </w:pPr>
    </w:p>
    <w:p>
      <w:pPr>
        <w:spacing w:after="0" w:line="163" w:lineRule="exact"/>
        <w:rPr>
          <w:sz w:val="24"/>
          <w:szCs w:val="24"/>
          <w:color w:val="auto"/>
        </w:rPr>
      </w:pPr>
    </w:p>
    <w:tbl>
      <w:tblPr>
        <w:tblLayout w:type="fixed"/>
        <w:tblInd w:w="4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Minder risico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Hoger risico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Typisch lagere beloningen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Doorgaans hogere beloningen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3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Deze indicator is gebaseerd op historische gegevens en vormt mogelijk geen betrouwbare indicatie van het toekomstige risicoprofiel van het Fonds.</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weergegeven risicocategorie is niet gegarandeerd en kan in de loop van de tijd veranderen.</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laagste categorie betekent niet "risicovrij".</w:t>
      </w:r>
    </w:p>
    <w:p>
      <w:pPr>
        <w:spacing w:after="0" w:line="16" w:lineRule="exact"/>
        <w:rPr>
          <w:sz w:val="24"/>
          <w:szCs w:val="24"/>
          <w:color w:val="auto"/>
        </w:rPr>
      </w:pPr>
    </w:p>
    <w:p>
      <w:pPr xmlns:w="http://schemas.openxmlformats.org/wordprocessingml/2006/main">
        <w:jc w:val="both"/>
        <w:ind w:left="3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Het Fonds heeft een rating van 6 vanwege de aard van zijn beleggingen, waaronder de hieronder vermelde risico's.</w:t>
      </w:r>
      <w:r>
        <w:rPr xmlns:w="http://schemas.openxmlformats.org/wordprocessingml/2006/main">
          <w:rFonts w:ascii="Arial" w:cs="Arial" w:eastAsia="Arial" w:hAnsi="Arial"/>
          <w:sz w:val="16"/>
          <w:szCs w:val="16"/>
          <w:color w:val="231F20"/>
        </w:rPr>
        <w:t xml:space="preserve"> Deze factoren kunnen van invloed zijn op de waarde van de beleggingen van het Fonds of het Fonds blootstellen aan verliezen.</w:t>
      </w:r>
    </w:p>
    <w:p>
      <w:pPr>
        <w:spacing w:after="0" w:line="1" w:lineRule="exact"/>
        <w:rPr>
          <w:sz w:val="24"/>
          <w:szCs w:val="24"/>
          <w:color w:val="auto"/>
        </w:rPr>
      </w:pPr>
    </w:p>
    <w:p>
      <w:pPr xmlns:w="http://schemas.openxmlformats.org/wordprocessingml/2006/main">
        <w:jc w:val="both"/>
        <w:ind w:left="34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231F20"/>
        </w:rPr>
        <w:t xml:space="preserve"> Andere invloedrijke factoren zijn politiek, economisch nieuws, bedrijfswinsten en belangrijke bedrijfsevenementen.</w:t>
      </w:r>
    </w:p>
    <w:p>
      <w:pPr xmlns:w="http://schemas.openxmlformats.org/wordprocessingml/2006/main">
        <w:ind w:left="340"/>
        <w:spacing w:after="0" w:line="234" w:lineRule="auto"/>
        <w:tabs>
          <w:tab w:leader="none" w:pos="43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Bewegingen in wisselkoersen kunnen een negatieve invloed hebben op het rendement van uw investering.</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21" w:lineRule="auto"/>
        <w:tabs>
          <w:tab w:leader="none" w:pos="42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Opkomende markten zijn doorgaans gevoeliger voor economische en politieke omstandigheden dan ontwikkelde markten.</w:t>
      </w:r>
      <w:r>
        <w:rPr xmlns:w="http://schemas.openxmlformats.org/wordprocessingml/2006/main">
          <w:rFonts w:ascii="Arial" w:cs="Arial" w:eastAsia="Arial" w:hAnsi="Arial"/>
          <w:sz w:val="16"/>
          <w:szCs w:val="16"/>
          <w:color w:val="231F20"/>
        </w:rPr>
        <w:t xml:space="preserve"> Andere factoren zijn onder meer een groter "liquiditeitsrisico", beperkingen op beleggingen of overdrachten van activa en een mislukte/vertraagde levering van effecten of betalingen aan het Fonds.</w:t>
      </w:r>
    </w:p>
    <w:p>
      <w:pPr>
        <w:spacing w:after="0" w:line="2" w:lineRule="exact"/>
        <w:rPr>
          <w:rFonts w:ascii="Arial" w:cs="Arial" w:eastAsia="Arial" w:hAnsi="Arial"/>
          <w:sz w:val="16"/>
          <w:szCs w:val="16"/>
          <w:color w:val="231F20"/>
        </w:rPr>
      </w:pPr>
    </w:p>
    <w:p>
      <w:pPr xmlns:w="http://schemas.openxmlformats.org/wordprocessingml/2006/main">
        <w:jc w:val="both"/>
        <w:ind w:left="34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beleggingsrisico is geconcentreerd in specifieke sectoren, landen, valuta's of bedrijven.</w:t>
      </w:r>
      <w:r>
        <w:rPr xmlns:w="http://schemas.openxmlformats.org/wordprocessingml/2006/main">
          <w:rFonts w:ascii="Arial" w:cs="Arial" w:eastAsia="Arial" w:hAnsi="Arial"/>
          <w:sz w:val="16"/>
          <w:szCs w:val="16"/>
          <w:color w:val="231F20"/>
        </w:rPr>
        <w:t xml:space="preserve"> Dit betekent dat het Fonds gevoeliger is voor gelokaliseerde economische, markt-, politieke of regelgevende gebeurtenissen.</w:t>
      </w:r>
    </w:p>
    <w:p>
      <w:pPr xmlns:w="http://schemas.openxmlformats.org/wordprocessingml/2006/main">
        <w:jc w:val="both"/>
        <w:ind w:left="34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Gebruik van derivaten.</w:t>
      </w:r>
      <w:r>
        <w:rPr xmlns:w="http://schemas.openxmlformats.org/wordprocessingml/2006/main">
          <w:rFonts w:ascii="Arial" w:cs="Arial" w:eastAsia="Arial" w:hAnsi="Arial"/>
          <w:sz w:val="16"/>
          <w:szCs w:val="16"/>
          <w:color w:val="231F20"/>
        </w:rPr>
        <w:t xml:space="preserve"> Het gebruik van derivaten kan de blootstelling aan beleenbare activa verhogen of verminderen en resulteren in grotere fluctuaties van de intrinsieke waarde van het Fonds.</w:t>
      </w:r>
    </w:p>
    <w:p>
      <w:pPr>
        <w:spacing w:after="0" w:line="4" w:lineRule="exact"/>
        <w:rPr>
          <w:sz w:val="24"/>
          <w:szCs w:val="24"/>
          <w:color w:val="auto"/>
        </w:rPr>
      </w:pPr>
    </w:p>
    <w:p>
      <w:pPr xmlns:w="http://schemas.openxmlformats.org/wordprocessingml/2006/main">
        <w:jc w:val="both"/>
        <w:ind w:left="200"/>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 risico- en beloningsindicator houdt geen rekening met de volgende risico's van beleggen in het Fonds:</w:t>
      </w: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Tegenpartijrisico.</w:t>
      </w:r>
      <w:r>
        <w:rPr xmlns:w="http://schemas.openxmlformats.org/wordprocessingml/2006/main">
          <w:rFonts w:ascii="Arial" w:cs="Arial" w:eastAsia="Arial" w:hAnsi="Arial"/>
          <w:sz w:val="16"/>
          <w:szCs w:val="16"/>
          <w:color w:val="231F20"/>
        </w:rPr>
        <w:t xml:space="preserve"> Insolventie van instellingen die diensten verlenen, zoals de bewaring van activa of die optreden als tegenpartij bij derivaten of andere instrumenten, kan het Fonds blootstellen aan financieel verlies.</w:t>
      </w:r>
    </w:p>
    <w:p>
      <w:pPr>
        <w:spacing w:after="0" w:line="2" w:lineRule="exact"/>
        <w:rPr>
          <w:sz w:val="24"/>
          <w:szCs w:val="24"/>
          <w:color w:val="auto"/>
        </w:rPr>
      </w:pPr>
    </w:p>
    <w:p>
      <w:pPr xmlns:w="http://schemas.openxmlformats.org/wordprocessingml/2006/main">
        <w:jc w:val="both"/>
        <w:ind w:left="34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Liquiditeitsrisico.</w:t>
      </w:r>
      <w:r>
        <w:rPr xmlns:w="http://schemas.openxmlformats.org/wordprocessingml/2006/main">
          <w:rFonts w:ascii="Arial" w:cs="Arial" w:eastAsia="Arial" w:hAnsi="Arial"/>
          <w:sz w:val="16"/>
          <w:szCs w:val="16"/>
          <w:color w:val="231F20"/>
        </w:rPr>
        <w:t xml:space="preserve"> Lagere liquiditeit betekent dat er onvoldoende kopers of verkopers zijn om het Fonds in staat te stellen investeringen gemakkelijk te verkopen of te kopen, waardoor het Fonds hogere kosten zou kunnen maken bij het kopen of verkopen van investeringen of zou kunnen betekenen dat het Fonds niet in staat is om investeringen te kopen of verkopen wanneer het dat zou willen.</w:t>
      </w:r>
    </w:p>
    <w:p>
      <w:pPr>
        <w:spacing w:after="0" w:line="3" w:lineRule="exact"/>
        <w:rPr>
          <w:sz w:val="24"/>
          <w:szCs w:val="24"/>
          <w:color w:val="auto"/>
        </w:rPr>
      </w:pPr>
    </w:p>
    <w:p>
      <w:pPr xmlns:w="http://schemas.openxmlformats.org/wordprocessingml/2006/main">
        <w:jc w:val="both"/>
        <w:ind w:left="340" w:hanging="140"/>
        <w:spacing w:after="0" w:line="234"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Indextraceringsrisico.</w:t>
      </w:r>
      <w:r>
        <w:rPr xmlns:w="http://schemas.openxmlformats.org/wordprocessingml/2006/main">
          <w:rFonts w:ascii="Arial" w:cs="Arial" w:eastAsia="Arial" w:hAnsi="Arial"/>
          <w:sz w:val="16"/>
          <w:szCs w:val="16"/>
          <w:color w:val="231F20"/>
        </w:rPr>
        <w:t xml:space="preserve"> Het Fonds wordt niet geacht de prestaties van de Index te allen tijde met perfecte nauwkeurigheid te volgen.</w:t>
      </w:r>
      <w:r>
        <w:rPr xmlns:w="http://schemas.openxmlformats.org/wordprocessingml/2006/main">
          <w:rFonts w:ascii="Arial" w:cs="Arial" w:eastAsia="Arial" w:hAnsi="Arial"/>
          <w:sz w:val="16"/>
          <w:szCs w:val="16"/>
          <w:color w:val="231F20"/>
        </w:rPr>
        <w:t xml:space="preserve"> Het fonds is echter,</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right="3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verwacht beleggingsresultaten te leveren die, vóór de uitgaven, over het algemeen overeenkomen met de prijs- en rendementsprestaties van de index.</w:t>
      </w:r>
    </w:p>
    <w:p>
      <w:pPr>
        <w:spacing w:after="0" w:line="1" w:lineRule="exact"/>
        <w:rPr>
          <w:sz w:val="24"/>
          <w:szCs w:val="24"/>
          <w:color w:val="auto"/>
        </w:rPr>
      </w:pPr>
    </w:p>
    <w:p>
      <w:pPr xmlns:w="http://schemas.openxmlformats.org/wordprocessingml/2006/main">
        <w:jc w:val="both"/>
        <w:ind w:left="140" w:righ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Index steekproefrisico.</w:t>
      </w:r>
      <w:r>
        <w:rPr xmlns:w="http://schemas.openxmlformats.org/wordprocessingml/2006/main">
          <w:rFonts w:ascii="Arial" w:cs="Arial" w:eastAsia="Arial" w:hAnsi="Arial"/>
          <w:sz w:val="16"/>
          <w:szCs w:val="16"/>
          <w:color w:val="231F20"/>
        </w:rPr>
        <w:t xml:space="preserve"> Aangezien het Fonds gebruikmaakt van een indexsteekproeftechniek waarbij een representatieve steekproef van effecten wordt geselecteerd om de Index weer te geven, bestaat het risico dat de voor het Fonds geselecteerde effecten in totaal niet de volledige Index benaderen.</w:t>
      </w:r>
    </w:p>
    <w:p>
      <w:pPr>
        <w:spacing w:after="0" w:line="2" w:lineRule="exact"/>
        <w:rPr>
          <w:sz w:val="24"/>
          <w:szCs w:val="24"/>
          <w:color w:val="auto"/>
        </w:rPr>
      </w:pPr>
    </w:p>
    <w:p>
      <w:pPr xmlns:w="http://schemas.openxmlformats.org/wordprocessingml/2006/main">
        <w:jc w:val="both"/>
        <w:ind w:right="340"/>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risico's, zie de rubriek "Risicofactoren" van het Prospectus op onze website op</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400" w:space="240"/>
            <w:col w:w="554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lasten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color w:val="231F20"/>
        </w:rPr>
        <w:t xml:space="preserve"> Deze kosten verminderen de potentiële groei van uw investering.</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Eenmalige kosten die voor of na uw investering zijn gemaakt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Toegangsprijs*</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Exitkosten*</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Dit is het maximum dat uit uw geld kan worden gehaald voordat het wordt geïnvesteerd / voordat de opbrengst van uw investering wordt uitbetaald.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Kosten die over een jaar uit het Fonds zijn ontvangen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Lopende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0,29%</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Onder bepaalde specifieke voorwaarden uit het Fonds ontvangen heffingen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Prestatievergoeding</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Beleggers die geen geautoriseerde deelnemers ("AP's") zijn, moeten mogelijk kosten betalen aan een effectenmakelaar wanneer u op de beurs (en) koopt of verkoopt.</w:t>
      </w:r>
      <w:r>
        <w:rPr xmlns:w="http://schemas.openxmlformats.org/wordprocessingml/2006/main">
          <w:rFonts w:ascii="Arial" w:cs="Arial" w:eastAsia="Arial" w:hAnsi="Arial"/>
          <w:sz w:val="16"/>
          <w:szCs w:val="16"/>
          <w:color w:val="231F20"/>
        </w:rPr>
        <w:t xml:space="preserve"> De kosten zijn rechtstreeks verkrijgbaar bij uw effectenmakelaar en worden niet in rekening gebracht door of betaald aan het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 vermelde in- en uitstapkosten zijn maximumcijfers en in sommige gevallen betaalt u mogelijk minder.</w:t>
      </w:r>
      <w:r>
        <w:rPr xmlns:w="http://schemas.openxmlformats.org/wordprocessingml/2006/main">
          <w:rFonts w:ascii="Arial" w:cs="Arial" w:eastAsia="Arial" w:hAnsi="Arial"/>
          <w:sz w:val="16"/>
          <w:szCs w:val="16"/>
          <w:color w:val="231F20"/>
        </w:rPr>
        <w:t xml:space="preserve"> Beleggers kunnen de werkelijke in- en uitstapkosten van hun distributeur en/of adviseur achterhalen.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rechtstreeks met het Fonds te maken hebben, zullen de daarmee samenhangende transactiekosten betalen.</w:t>
      </w:r>
      <w:r>
        <w:rPr xmlns:w="http://schemas.openxmlformats.org/wordprocessingml/2006/main">
          <w:rFonts w:ascii="Arial" w:cs="Arial" w:eastAsia="Arial" w:hAnsi="Arial"/>
          <w:sz w:val="15"/>
          <w:szCs w:val="15"/>
          <w:color w:val="231F20"/>
        </w:rPr>
        <w:t xml:space="preserve"> Voor geldcreaties of aflossingen kan er een contante transactievergoeding van maximaal 2% zijn die aan het Fonds wordt betaald, en alle transacties zullen bijbehorende transactiekosten hebben.</w:t>
      </w:r>
      <w:r>
        <w:rPr xmlns:w="http://schemas.openxmlformats.org/wordprocessingml/2006/main">
          <w:rFonts w:ascii="Arial" w:cs="Arial" w:eastAsia="Arial" w:hAnsi="Arial"/>
          <w:sz w:val="15"/>
          <w:szCs w:val="15"/>
          <w:color w:val="231F20"/>
        </w:rPr>
        <w:t xml:space="preserve"> Beleggers die geen AP's zijn, zullen deze kosten of kosten niet betalen.</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 het geval van een grote inschrijving op of terugbetaling door een investeerder, kan die investeerder een extra heffing (bv. een verwateringsheffing) aan het Fonds moeten betalen om de gemaakte transactiekosten te dekken.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bedrag van de lopende kosten is gebaseerd op de uitgaven voor het op 31 december 2022 afgesloten jaar.</w:t>
      </w:r>
      <w:r>
        <w:rPr xmlns:w="http://schemas.openxmlformats.org/wordprocessingml/2006/main">
          <w:rFonts w:ascii="Arial" w:cs="Arial" w:eastAsia="Arial" w:hAnsi="Arial"/>
          <w:sz w:val="16"/>
          <w:szCs w:val="16"/>
          <w:color w:val="231F20"/>
        </w:rPr>
        <w:t xml:space="preserve"> Dit cijfer kan van jaar tot jaar verschillen.</w:t>
      </w:r>
      <w:r>
        <w:rPr xmlns:w="http://schemas.openxmlformats.org/wordprocessingml/2006/main">
          <w:rFonts w:ascii="Arial" w:cs="Arial" w:eastAsia="Arial" w:hAnsi="Arial"/>
          <w:sz w:val="16"/>
          <w:szCs w:val="16"/>
          <w:color w:val="231F20"/>
        </w:rPr>
        <w:t xml:space="preserve"> Het omvat geen transactiekosten voor portefeuilles.</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kosten, zie het Prospectus en de secties getiteld "Aandelen kopen", "Aandelen inwisselen", "Kosten en onkosten" en Bijlage 1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Eerdere prestaties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 geen betrouwbare indicatie van toekomstige prestaties.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Inclusief lopende lasten en herinvestering van inkomsten.</w:t>
      </w:r>
      <w:r>
        <w:rPr xmlns:w="http://schemas.openxmlformats.org/wordprocessingml/2006/main">
          <w:rFonts w:ascii="Arial" w:cs="Arial" w:eastAsia="Arial" w:hAnsi="Arial"/>
          <w:sz w:val="16"/>
          <w:szCs w:val="16"/>
          <w:color w:val="231F20"/>
        </w:rPr>
        <w:t xml:space="preserve"> Het is exclusief in- en uitstapkosten.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Is berekend in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Aandelen in het fonds werden voor het eerst uitgegeven in 2013.</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Deze aandelenklasse werd in 2013 gelanceerd.</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Percentage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Depositaris:</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Documenten, prijzen van aandelen en verdere informatie:</w:t>
      </w:r>
      <w:r>
        <w:rPr xmlns:w="http://schemas.openxmlformats.org/wordprocessingml/2006/main">
          <w:rFonts w:ascii="Arial" w:cs="Arial" w:eastAsia="Arial" w:hAnsi="Arial"/>
          <w:sz w:val="16"/>
          <w:szCs w:val="16"/>
          <w:color w:val="231F20"/>
        </w:rPr>
        <w:t xml:space="preserve"> U kunt kopieën van het Prospectus en het laatste jaar- en halfjaarverslag en rekeningen voor Vanguard Funds plc ("VF") samen met de laatst gepubliceerde prijzen van aandelen en andere praktische informatie verkrijgen van VF c / o Brown Brothers Harriman Fund Administration Services (Ireland) Limited, 30 Herbert Street, Dublin 2, D02 W329, Ierland of van onze website op https://global.vanguard.com.</w:t>
      </w:r>
      <w:r>
        <w:rPr xmlns:w="http://schemas.openxmlformats.org/wordprocessingml/2006/main">
          <w:rFonts w:ascii="Arial" w:cs="Arial" w:eastAsia="Arial" w:hAnsi="Arial"/>
          <w:sz w:val="16"/>
          <w:szCs w:val="16"/>
          <w:color w:val="231F20"/>
        </w:rPr>
        <w:t xml:space="preserve"> Informatie over het beleid van het Fonds inzake openbaarmaking van portefeuilles en publicatie van de iNAV is te vinden op https://global.vanguard.com/portal/site/portal/ucits-documentation.</w:t>
      </w:r>
      <w:r>
        <w:rPr xmlns:w="http://schemas.openxmlformats.org/wordprocessingml/2006/main">
          <w:rFonts w:ascii="Arial" w:cs="Arial" w:eastAsia="Arial" w:hAnsi="Arial"/>
          <w:sz w:val="16"/>
          <w:szCs w:val="16"/>
          <w:color w:val="231F20"/>
        </w:rPr>
        <w:t xml:space="preserve"> De documenten zijn beschikbaar in het Engels en zijn gratis.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Prijzen:</w:t>
      </w:r>
      <w:r>
        <w:rPr xmlns:w="http://schemas.openxmlformats.org/wordprocessingml/2006/main">
          <w:rFonts w:ascii="Arial" w:cs="Arial" w:eastAsia="Arial" w:hAnsi="Arial"/>
          <w:sz w:val="16"/>
          <w:szCs w:val="16"/>
          <w:color w:val="231F20"/>
        </w:rPr>
        <w:t xml:space="preserve"> De laatst gepubliceerde koersen van aandelen in het Fonds zijn ook beschikbaar op de website van de FT www.ft.com of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Belasting:</w:t>
      </w:r>
      <w:r>
        <w:rPr xmlns:w="http://schemas.openxmlformats.org/wordprocessingml/2006/main">
          <w:rFonts w:ascii="Arial" w:cs="Arial" w:eastAsia="Arial" w:hAnsi="Arial"/>
          <w:sz w:val="16"/>
          <w:szCs w:val="16"/>
          <w:color w:val="231F20"/>
        </w:rPr>
        <w:t xml:space="preserve"> VF is onderworpen aan de belastingwetgeving van Ierland.</w:t>
      </w:r>
      <w:r>
        <w:rPr xmlns:w="http://schemas.openxmlformats.org/wordprocessingml/2006/main">
          <w:rFonts w:ascii="Arial" w:cs="Arial" w:eastAsia="Arial" w:hAnsi="Arial"/>
          <w:sz w:val="16"/>
          <w:szCs w:val="16"/>
          <w:color w:val="231F20"/>
        </w:rPr>
        <w:t xml:space="preserve"> Afhankelijk van het land waar u woont, kan dit gevolgen hebben voor uw persoonlijke belastingpositie.</w:t>
      </w:r>
      <w:r>
        <w:rPr xmlns:w="http://schemas.openxmlformats.org/wordprocessingml/2006/main">
          <w:rFonts w:ascii="Arial" w:cs="Arial" w:eastAsia="Arial" w:hAnsi="Arial"/>
          <w:sz w:val="16"/>
          <w:szCs w:val="16"/>
          <w:color w:val="231F20"/>
        </w:rPr>
        <w:t xml:space="preserve"> U wordt aangeraden om uw professionele belastingadviseur te raadplegen.</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Aansprakelijkheid:</w:t>
      </w:r>
      <w:r>
        <w:rPr xmlns:w="http://schemas.openxmlformats.org/wordprocessingml/2006/main">
          <w:rFonts w:ascii="Arial" w:cs="Arial" w:eastAsia="Arial" w:hAnsi="Arial"/>
          <w:sz w:val="16"/>
          <w:szCs w:val="16"/>
          <w:color w:val="231F20"/>
        </w:rPr>
        <w:t xml:space="preserve"> VGIL kan uitsluitend aansprakelijk worden gesteld op basis van een verklaring in dit document die misleidend, onnauwkeurig of niet in overeenstemming is met de relevante delen van het Prospectus voor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Subfondsen:</w:t>
      </w:r>
      <w:r>
        <w:rPr xmlns:w="http://schemas.openxmlformats.org/wordprocessingml/2006/main">
          <w:rFonts w:ascii="Arial" w:cs="Arial" w:eastAsia="Arial" w:hAnsi="Arial"/>
          <w:sz w:val="16"/>
          <w:szCs w:val="16"/>
          <w:color w:val="231F20"/>
        </w:rPr>
        <w:t xml:space="preserve"> VF is een overkoepelend fonds met een aantal subfondsen.</w:t>
      </w:r>
      <w:r>
        <w:rPr xmlns:w="http://schemas.openxmlformats.org/wordprocessingml/2006/main">
          <w:rFonts w:ascii="Arial" w:cs="Arial" w:eastAsia="Arial" w:hAnsi="Arial"/>
          <w:sz w:val="16"/>
          <w:szCs w:val="16"/>
          <w:color w:val="231F20"/>
        </w:rPr>
        <w:t xml:space="preserve"> In dit document wordt een subfonds van VF beschreven.</w:t>
      </w:r>
      <w:r>
        <w:rPr xmlns:w="http://schemas.openxmlformats.org/wordprocessingml/2006/main">
          <w:rFonts w:ascii="Arial" w:cs="Arial" w:eastAsia="Arial" w:hAnsi="Arial"/>
          <w:sz w:val="16"/>
          <w:szCs w:val="16"/>
          <w:color w:val="231F20"/>
        </w:rPr>
        <w:t xml:space="preserve"> Het prospectus en de periodieke verslagen worden opgesteld voor het gehele bedrijf.</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 een overkoepelend fonds met gescheiden aansprakelijkheid tussen subfondsen.</w:t>
      </w:r>
      <w:r>
        <w:rPr xmlns:w="http://schemas.openxmlformats.org/wordprocessingml/2006/main">
          <w:rFonts w:ascii="Arial" w:cs="Arial" w:eastAsia="Arial" w:hAnsi="Arial"/>
          <w:sz w:val="16"/>
          <w:szCs w:val="16"/>
          <w:color w:val="231F20"/>
        </w:rPr>
        <w:t xml:space="preserve"> Dit betekent dat de deelnemingen van het Fonds naar Iers recht gescheiden worden gehouden van de deelnemingen van andere deelfondsen van VF en dat uw investering in het Fonds niet wordt beïnvloed door vorderingen op een ander deelfonds van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Aandelen:</w:t>
      </w:r>
      <w:r>
        <w:rPr xmlns:w="http://schemas.openxmlformats.org/wordprocessingml/2006/main">
          <w:rFonts w:ascii="Arial" w:cs="Arial" w:eastAsia="Arial" w:hAnsi="Arial"/>
          <w:sz w:val="16"/>
          <w:szCs w:val="16"/>
          <w:color w:val="231F20"/>
        </w:rPr>
        <w:t xml:space="preserve"> ETF-aandelen in het fonds mogen niet worden ingewisseld voor ETF-aandelen in andere subfondsen van VF, maar AP's kunnen, met voorafgaande goedkeuring, ETF-aandelen in het fonds overschakelen naar een andere aandelenklasse van hetzelfde fonds, indien andere aandelenklassen beschikbaar zijn.</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Informatie over andere door VF aangeboden aandelenklassen is te vinden in het prospectus of op onze website op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Beloningsbeleid:</w:t>
      </w:r>
      <w:r>
        <w:rPr xmlns:w="http://schemas.openxmlformats.org/wordprocessingml/2006/main">
          <w:rFonts w:ascii="Arial" w:cs="Arial" w:eastAsia="Arial" w:hAnsi="Arial"/>
          <w:sz w:val="13"/>
          <w:szCs w:val="13"/>
          <w:color w:val="231F20"/>
        </w:rPr>
        <w:t xml:space="preserve"> Details van het Beloningsbeleid van VGIL zijn beschikbaar op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met inbegrip van: a) een beschrijving van de wijze waarop de beloning en de uitkeringen worden berekend; en b) de identiteit van de personen die verantwoordelijk zijn voor de toekenning van de beloning en</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voordelen.</w:t>
      </w:r>
      <w:r>
        <w:rPr xmlns:w="http://schemas.openxmlformats.org/wordprocessingml/2006/main">
          <w:rFonts w:ascii="Arial" w:cs="Arial" w:eastAsia="Arial" w:hAnsi="Arial"/>
          <w:sz w:val="16"/>
          <w:szCs w:val="16"/>
          <w:color w:val="231F20"/>
        </w:rPr>
        <w:t xml:space="preserve"> Een papieren kopie van deze gegevens kan kosteloos worden verkregen op verzoek van VGIL op 70 Sir John Rogerson's Quay, Dublin 2, Ierland.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Het Fonds heeft een vergunning in Ierland en wordt gereguleerd door de Central Bank of Ireland (de "Central Bank").</w:t>
      </w:r>
      <w:r>
        <w:rPr xmlns:w="http://schemas.openxmlformats.org/wordprocessingml/2006/main">
          <w:rFonts w:ascii="Arial" w:cs="Arial" w:eastAsia="Arial" w:hAnsi="Arial"/>
          <w:sz w:val="16"/>
          <w:szCs w:val="16"/>
          <w:color w:val="231F20"/>
        </w:rPr>
        <w:t xml:space="preserve"> VGIL is geautoriseerd in Ierland en gereguleerd door de Centrale Bank.Deze essentiële beleggersinformatie is nauwkeurig per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21424D"/>
    <w:multiLevelType w:val="hybridMultilevel"/>
    <w:lvl w:ilvl="0">
      <w:lvlJc w:val="left"/>
      <w:lvlText w:val="%1"/>
      <w:numFmt w:val="decimal"/>
      <w:start w:val="2"/>
    </w:lvl>
  </w:abstractNum>
  <w:abstractNum w:abstractNumId="1">
    <w:nsid w:val="140E62E4"/>
    <w:multiLevelType w:val="hybridMultilevel"/>
    <w:lvl w:ilvl="0">
      <w:lvlJc w:val="left"/>
      <w:lvlText w:val="%1"/>
      <w:numFmt w:val="decimal"/>
      <w:start w:val="2"/>
    </w:lvl>
    <w:lvl w:ilvl="1">
      <w:lvlJc w:val="left"/>
      <w:lvlText w:val="%2."/>
      <w:numFmt w:val="decimal"/>
      <w:start w:val="1"/>
    </w:lvl>
  </w:abstractNum>
  <w:abstractNum w:abstractNumId="2">
    <w:nsid w:val="30E73EA1"/>
    <w:multiLevelType w:val="hybridMultilevel"/>
    <w:lvl w:ilvl="0">
      <w:lvlJc w:val="left"/>
      <w:lvlText w:val="%1"/>
      <w:numFmt w:val="decimal"/>
      <w:start w:val="2"/>
    </w:lvl>
  </w:abstractNum>
  <w:abstractNum w:abstractNumId="3">
    <w:nsid w:val="5B8318F1"/>
    <w:multiLevelType w:val="hybridMultilevel"/>
    <w:lvl w:ilvl="0">
      <w:lvlJc w:val="left"/>
      <w:lvlText w:val="%1"/>
      <w:numFmt w:val="decimal"/>
      <w:start w:val="2"/>
    </w:lvl>
  </w:abstractNum>
  <w:abstractNum w:abstractNumId="4">
    <w:nsid w:val="7D2BBDD9"/>
    <w:multiLevelType w:val="hybridMultilevel"/>
    <w:lvl w:ilvl="0">
      <w:lvlJc w:val="left"/>
      <w:lvlText w:val="%1"/>
      <w:numFmt w:val="decimal"/>
      <w:start w:val="2"/>
    </w:lvl>
  </w:abstractNum>
  <w:abstractNum w:abstractNumId="5">
    <w:nsid w:val="513BAFA4"/>
    <w:multiLevelType w:val="hybridMultilevel"/>
    <w:lvl w:ilvl="0">
      <w:lvlJc w:val="left"/>
      <w:lvlText w:val="%1"/>
      <w:numFmt w:val="decimal"/>
      <w:start w:val="2"/>
    </w:lvl>
  </w:abstractNum>
  <w:abstractNum w:abstractNumId="6">
    <w:nsid w:val="6B516FD9"/>
    <w:multiLevelType w:val="hybridMultilevel"/>
    <w:lvl w:ilvl="0">
      <w:lvlJc w:val="left"/>
      <w:lvlText w:val="%1"/>
      <w:numFmt w:val="decimal"/>
      <w:start w:val="2"/>
    </w:lvl>
  </w:abstractNum>
  <w:abstractNum w:abstractNumId="7">
    <w:nsid w:val="413D7305"/>
    <w:multiLevelType w:val="hybridMultilevel"/>
    <w:lvl w:ilvl="0">
      <w:lvlJc w:val="left"/>
      <w:lvlText w:val="%1"/>
      <w:numFmt w:val="decimal"/>
      <w:start w:val="2"/>
    </w:lvl>
  </w:abstractNum>
  <w:abstractNum w:abstractNumId="8">
    <w:nsid w:val="21FCDBCC"/>
    <w:multiLevelType w:val="hybridMultilevel"/>
    <w:lvl w:ilvl="0">
      <w:lvlJc w:val="left"/>
      <w:lvlText w:val="%1"/>
      <w:numFmt w:val="decimal"/>
      <w:start w:val="2"/>
    </w:lvl>
  </w:abstractNum>
  <w:abstractNum w:abstractNumId="9">
    <w:nsid w:val="1469042"/>
    <w:multiLevelType w:val="hybridMultilevel"/>
    <w:lvl w:ilvl="0">
      <w:lvlJc w:val="left"/>
      <w:lvlText w:val="%1"/>
      <w:numFmt w:val="decimal"/>
      <w:start w:val="2"/>
    </w:lvl>
  </w:abstractNum>
  <w:abstractNum w:abstractNumId="10">
    <w:nsid w:val="685658C0"/>
    <w:multiLevelType w:val="hybridMultilevel"/>
    <w:lvl w:ilvl="0">
      <w:lvlJc w:val="left"/>
      <w:lvlText w:val="%1"/>
      <w:numFmt w:val="decimal"/>
      <w:start w:val="2"/>
    </w:lvl>
  </w:abstractNum>
  <w:abstractNum w:abstractNumId="11">
    <w:nsid w:val="3475E35"/>
    <w:multiLevelType w:val="hybridMultilevel"/>
    <w:lvl w:ilvl="0">
      <w:lvlJc w:val="left"/>
      <w:lvlText w:val="-"/>
      <w:numFmt w:val="bullet"/>
      <w:start w:val="1"/>
    </w:lvl>
  </w:abstractNum>
  <w:abstractNum w:abstractNumId="12">
    <w:nsid w:val="E0BC5D"/>
    <w:multiLevelType w:val="hybridMultilevel"/>
    <w:lvl w:ilvl="0">
      <w:lvlJc w:val="left"/>
      <w:lvlText w:val="%1"/>
      <w:numFmt w:val="decimal"/>
      <w:start w:val="2"/>
    </w:lvl>
  </w:abstractNum>
  <w:abstractNum w:abstractNumId="13">
    <w:nsid w:val="50D303F5"/>
    <w:multiLevelType w:val="hybridMultilevel"/>
    <w:lvl w:ilvl="0">
      <w:lvlJc w:val="left"/>
      <w:lvlText w:val="%1"/>
      <w:numFmt w:val="decimal"/>
      <w:start w:val="2"/>
    </w:lvl>
  </w:abstractNum>
  <w:abstractNum w:abstractNumId="14">
    <w:nsid w:val="FC0D544"/>
    <w:multiLevelType w:val="hybridMultilevel"/>
    <w:lvl w:ilvl="0">
      <w:lvlJc w:val="left"/>
      <w:lvlText w:val="*"/>
      <w:numFmt w:val="bullet"/>
      <w:start w:val="1"/>
    </w:lvl>
  </w:abstractNum>
  <w:abstractNum w:abstractNumId="15">
    <w:nsid w:val="53A34450"/>
    <w:multiLevelType w:val="hybridMultilevel"/>
    <w:lvl w:ilvl="0">
      <w:lvlJc w:val="left"/>
      <w:lvlText w:val="%1"/>
      <w:numFmt w:val="decimal"/>
      <w:start w:val="2"/>
    </w:lvl>
  </w:abstractNum>
  <w:abstractNum w:abstractNumId="16">
    <w:nsid w:val="55460E8D"/>
    <w:multiLevelType w:val="hybridMultilevel"/>
    <w:lvl w:ilvl="0">
      <w:lvlJc w:val="left"/>
      <w:lvlText w:val="%1"/>
      <w:numFmt w:val="decimal"/>
      <w:start w:val="2"/>
    </w:lvl>
  </w:abstractNum>
  <w:abstractNum w:abstractNumId="17">
    <w:nsid w:val="59F5212B"/>
    <w:multiLevelType w:val="hybridMultilevel"/>
    <w:lvl w:ilvl="0">
      <w:lvlJc w:val="left"/>
      <w:lvlText w:val="%1"/>
      <w:numFmt w:val="decimal"/>
      <w:start w:val="2"/>
    </w:lvl>
  </w:abstractNum>
  <w:abstractNum w:abstractNumId="18">
    <w:nsid w:val="2D40E544"/>
    <w:multiLevelType w:val="hybridMultilevel"/>
    <w:lvl w:ilvl="0">
      <w:lvlJc w:val="left"/>
      <w:lvlText w:val="%1"/>
      <w:numFmt w:val="decimal"/>
      <w:start w:val="2"/>
    </w:lvl>
  </w:abstractNum>
  <w:abstractNum w:abstractNumId="19">
    <w:nsid w:val="31EAD66"/>
    <w:multiLevelType w:val="hybridMultilevel"/>
    <w:lvl w:ilvl="0">
      <w:lvlJc w:val="left"/>
      <w:lvlText w:val="%1"/>
      <w:numFmt w:val="decimal"/>
      <w:start w:val="2"/>
    </w:lvl>
  </w:abstractNum>
  <w:abstractNum w:abstractNumId="20">
    <w:nsid w:val="7E094321"/>
    <w:multiLevelType w:val="hybridMultilevel"/>
    <w:lvl w:ilvl="0">
      <w:lvlJc w:val="left"/>
      <w:lvlText w:val="%1"/>
      <w:numFmt w:val="decimal"/>
      <w:start w:val="2"/>
    </w:lvl>
  </w:abstractNum>
  <w:abstractNum w:abstractNumId="21">
    <w:nsid w:val="2CCE6641"/>
    <w:multiLevelType w:val="hybridMultilevel"/>
    <w:lvl w:ilvl="0">
      <w:lvlJc w:val="left"/>
      <w:lvlText w:val="%1"/>
      <w:numFmt w:val="decimal"/>
      <w:start w:val="2"/>
    </w:lvl>
  </w:abstractNum>
  <w:abstractNum w:abstractNumId="22">
    <w:nsid w:val="AC7E24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2024-06-24T12:04:59Z</dcterms:created>
  <dcterms:modified xsi:type="dcterms:W3CDTF">2024-06-24T12:04:59Z</dcterms:modified>
</cp:coreProperties>
</file>