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3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5084445</wp:posOffset>
            </wp:positionH>
            <wp:positionV relativeFrom="page">
              <wp:posOffset>472440</wp:posOffset>
            </wp:positionV>
            <wp:extent cx="2116455" cy="46736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6455" cy="46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32"/>
          <w:szCs w:val="32"/>
          <w:color w:val="auto"/>
        </w:rPr>
        <w:t xml:space="preserve">Informazioni chiave per gli investitori</w:t>
      </w:r>
    </w:p>
    <w:p>
      <w:pPr>
        <w:spacing w:after="0" w:line="27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30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Questo documento fornisce informazioni chiave per gli investitori su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Non è materiale di marketing.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Le informazioni sono richieste dalla legge per aiutarti a comprendere la natura e i rischi dell'investimento in questo fondo.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Si consiglia di leggerlo in modo da poter prendere una decisione informata sull'opportunità di investire.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64135</wp:posOffset>
                </wp:positionV>
                <wp:extent cx="7098665" cy="58420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8665" cy="584200"/>
                        </a:xfrm>
                        <a:prstGeom prst="rect">
                          <a:avLst/>
                        </a:prstGeom>
                        <a:solidFill>
                          <a:srgbClr val="E2E2E2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2" o:spid="_x0000_s1027" style="position:absolute;margin-left:-9.9499pt;margin-top:5.05pt;width:558.95pt;height:46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E2E2E2" stroked="f"/>
            </w:pict>
          </mc:Fallback>
        </mc:AlternateContent>
      </w:r>
    </w:p>
    <w:p>
      <w:pPr>
        <w:sectPr>
          <w:pgSz w:w="11900" w:h="16843" w:orient="portrait"/>
          <w:cols w:equalWidth="0" w:num="1">
            <w:col w:w="10640"/>
          </w:cols>
          <w:pgMar w:left="560" w:top="969" w:right="700" w:bottom="0" w:gutter="0" w:footer="0" w:header="0"/>
        </w:sectPr>
      </w:pPr>
    </w:p>
    <w:p>
      <w:pPr>
        <w:spacing w:after="0" w:line="15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520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b w:val="1"/>
          <w:bCs w:val="1"/>
          <w:color w:val="231F20"/>
        </w:rPr>
        <w:t xml:space="preserve">Vanguard FTSE All-World UCITS ETF (il "Fondo")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231F20"/>
        </w:rPr>
        <w:t xml:space="preserve">Un sotto-fondo di Vanguard Funds PLC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3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(USD) Accumulo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b w:val="1"/>
          <w:bCs w:val="1"/>
          <w:color w:val="231F20"/>
        </w:rPr>
        <w:t xml:space="preserve">ISIN: IE00BK5BQT80</w:t>
      </w:r>
    </w:p>
    <w:p>
      <w:pPr>
        <w:spacing w:after="0" w:line="1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Manager: Vanguard Group (Ireland) Limited ("VGIL")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267335</wp:posOffset>
                </wp:positionV>
                <wp:extent cx="684530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21.05pt" to="267pt,21.05pt" o:allowincell="f" strokecolor="#231F20" strokeweight="0.4pt"/>
            </w:pict>
          </mc:Fallback>
        </mc:AlternateContent>
      </w:r>
    </w:p>
    <w:p>
      <w:pPr>
        <w:spacing w:after="0" w:line="338" w:lineRule="exact"/>
        <w:rPr>
          <w:sz w:val="24"/>
          <w:szCs w:val="24"/>
          <w:color w:val="auto"/>
        </w:rPr>
      </w:pPr>
    </w:p>
    <w:p>
      <w:pPr>
        <w:sectPr>
          <w:pgSz w:w="11900" w:h="16843" w:orient="portrait"/>
          <w:cols w:equalWidth="0" w:num="2">
            <w:col w:w="4720" w:space="720"/>
            <w:col w:w="5200"/>
          </w:cols>
          <w:pgMar w:left="560" w:top="969" w:right="700" w:bottom="0" w:gutter="0" w:footer="0" w:header="0"/>
          <w:type w:val="continuous"/>
        </w:sectPr>
      </w:pPr>
    </w:p>
    <w:p>
      <w:pPr>
        <w:spacing w:after="0" w:line="1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Obiettivi e politica di investimento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adotta un approccio di investimento passivo - o indicizzazione - attraverso l'acquisizione fisica di titoli e cerca di tenere traccia dei risultati dell'indice FTSE All-World Index (l'"Indice").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L’Indice comprende i titoli delle grandi e medie imprese nei mercati sviluppati ed emergenti.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cerca di:</w:t>
      </w:r>
    </w:p>
    <w:p>
      <w:pPr>
        <w:spacing w:after="0" w:line="9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140"/>
        <w:spacing w:after="0" w:line="208" w:lineRule="auto"/>
        <w:tabs>
          <w:tab w:leader="none" w:pos="329" w:val="left"/>
        </w:tabs>
        <w:numPr>
          <w:ilvl w:val="1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Monitorare le prestazioni dell'indice investendo in un campione rappresentativo di titoli costituenti l'indice.</w:t>
      </w:r>
    </w:p>
    <w:p>
      <w:pPr>
        <w:spacing w:after="0" w:line="1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140"/>
        <w:spacing w:after="0" w:line="211" w:lineRule="auto"/>
        <w:tabs>
          <w:tab w:leader="none" w:pos="303" w:val="left"/>
        </w:tabs>
        <w:numPr>
          <w:ilvl w:val="1"/>
          <w:numId w:val="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Rimanere pienamente investito, salvo in condizioni di mercato, politiche o simili straordinarie, nelle quali il Fondo può temporaneamente discostarsi da questa politica di investimento per evitare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può utilizzare derivati per ridurre il rischio o il costo e/o generare entrate o crescita supplementari.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 derivato è un contratto finanziario il cui valore è basato sul valore di un’attività finanziaria (come un’azione, un’obbligazione o una valuta) o su un indice di mercato.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valuta di base del fondo è l'USD.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26" w:lineRule="auto"/>
        <w:tabs>
          <w:tab w:leader="none" w:pos="140" w:val="left"/>
        </w:tabs>
        <w:numPr>
          <w:ilvl w:val="0"/>
          <w:numId w:val="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concedere prestiti garantiti a breve termine dei suoi investimenti a taluni terzi ammissibili.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Questo è utilizzato per generare entrate supplementari e per compensare i costi del Fondo.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può non essere adeguato per investimenti a breve termine.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26" w:lineRule="auto"/>
        <w:tabs>
          <w:tab w:leader="none" w:pos="140" w:val="left"/>
        </w:tabs>
        <w:numPr>
          <w:ilvl w:val="0"/>
          <w:numId w:val="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Questa classe di azioni è una classe di azioni accumulabili e gli amministratori non intendono dichiarare un dividendo.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entrate saranno reinvestite e riflesse nel prezzo delle azioni del Fondo.</w:t>
      </w:r>
    </w:p>
    <w:p>
      <w:pPr xmlns:w="http://schemas.openxmlformats.org/wordprocessingml/2006/main">
        <w:jc w:val="both"/>
        <w:ind w:left="140" w:hanging="139"/>
        <w:spacing w:after="0" w:line="21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Le azioni ETF sono quotate in una o più borse.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Fatte salve alcune eccezioni indicate nel prospetto, gli investitori che non sono partecipanti autorizzati possono vendere azioni ETF solo attraverso una società che è membro di una borsa valori pertinente in qualsiasi momento in cui tale borsa valori è aperta all'attività.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costi delle operazioni di portafoglio avranno un impatto sulla performance.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 w:line="255" w:lineRule="auto"/>
        <w:tabs>
          <w:tab w:leader="none" w:pos="140" w:val="left"/>
        </w:tabs>
        <w:numPr>
          <w:ilvl w:val="0"/>
          <w:numId w:val="7"/>
        </w:numPr>
        <w:rPr>
          <w:rFonts w:ascii="Arial" w:cs="Arial" w:eastAsia="Arial" w:hAnsi="Arial"/>
          <w:sz w:val="14"/>
          <w:szCs w:val="14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Le azioni del Fondo possono essere acquistate o vendute quotidianamente (salvo in alcuni giorni festivi o festivi e fatte salve alcune restrizioni descritte nel Supplemento) presentando una domanda per iscritto o per telefono.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231F20"/>
        </w:rPr>
        <w:t xml:space="preserve"> Un elenco dei giorni in cui le azioni del Fondo non possono essere acquistate o vendute è disponibile su https://global.vanguard.com/portal/site/loadPDF?country=global&amp;docId=11628</w:t>
      </w:r>
    </w:p>
    <w:p>
      <w:pPr>
        <w:spacing w:after="0" w:line="159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sugli obiettivi e sulla politica di investimento del fondo, nonché sulla relazione limitata con il fornitore dell'indice, si rimanda all'appendice 1 e all'appendice 6 del prospetto Vanguard Funds plc (il "prospetto") sul nostro sito web all'indirizzo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-3454400</wp:posOffset>
                </wp:positionH>
                <wp:positionV relativeFrom="paragraph">
                  <wp:posOffset>2299970</wp:posOffset>
                </wp:positionV>
                <wp:extent cx="684530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2pt,181.1pt" to="267pt,181.1pt" o:allowincell="f" strokecolor="#231F20" strokeweight="0.4pt"/>
            </w:pict>
          </mc:Fallback>
        </mc:AlternateContent>
      </w:r>
    </w:p>
    <w:p>
      <w:pPr>
        <w:spacing w:after="0" w:line="3536" w:lineRule="exact"/>
        <w:rPr>
          <w:sz w:val="24"/>
          <w:szCs w:val="24"/>
          <w:color w:val="auto"/>
        </w:rPr>
      </w:pPr>
    </w:p>
    <w:p>
      <w:pPr>
        <w:sectPr>
          <w:pgSz w:w="11900" w:h="16843" w:orient="portrait"/>
          <w:cols w:equalWidth="0" w:num="2">
            <w:col w:w="5200" w:space="240"/>
            <w:col w:w="5200"/>
          </w:cols>
          <w:pgMar w:left="560" w:top="969" w:right="700" w:bottom="0" w:gutter="0" w:footer="0" w:header="0"/>
          <w:type w:val="continuous"/>
        </w:sectPr>
      </w:pPr>
    </w:p>
    <w:p>
      <w:pPr>
        <w:spacing w:after="0" w:line="16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Profilo di rischio e di rendimento</w:t>
      </w:r>
    </w:p>
    <w:p>
      <w:pPr>
        <w:spacing w:after="0" w:line="163" w:lineRule="exact"/>
        <w:rPr>
          <w:sz w:val="24"/>
          <w:szCs w:val="24"/>
          <w:color w:val="auto"/>
        </w:rPr>
      </w:pPr>
    </w:p>
    <w:tbl>
      <w:tblPr>
        <w:tblLayout w:type="fixed"/>
        <w:tblInd w:w="2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88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ridotto</w:t>
            </w: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80" w:type="dxa"/>
            <w:vAlign w:val="bottom"/>
            <w:gridSpan w:val="2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Rischio più elevato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264"/>
        </w:trPr>
        <w:tc>
          <w:tcPr>
            <w:tcW w:w="1540" w:type="dxa"/>
            <w:vAlign w:val="bottom"/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premi inferiori</w:t>
            </w: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800" w:type="dxa"/>
            <w:vAlign w:val="bottom"/>
            <w:gridSpan w:val="3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In genere ricompense più elevate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116"/>
        </w:trPr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</w:tr>
      <w:tr>
        <w:trPr>
          <w:trHeight w:val="390"/>
        </w:trPr>
        <w:tc>
          <w:tcPr>
            <w:tcW w:w="760" w:type="dxa"/>
            <w:vAlign w:val="bottom"/>
          </w:tcPr>
          <w:p>
            <w:pPr xmlns:w="http://schemas.openxmlformats.org/wordprocessingml/2006/main">
              <w:jc w:val="right"/>
              <w:ind w:right="393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1</w:t>
            </w:r>
          </w:p>
        </w:tc>
        <w:tc>
          <w:tcPr>
            <w:tcW w:w="780" w:type="dxa"/>
            <w:vAlign w:val="bottom"/>
          </w:tcPr>
          <w:p>
            <w:pPr xmlns:w="http://schemas.openxmlformats.org/wordprocessingml/2006/main"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2</w:t>
            </w:r>
          </w:p>
        </w:tc>
        <w:tc>
          <w:tcPr>
            <w:tcW w:w="52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3</w:t>
            </w:r>
          </w:p>
        </w:tc>
        <w:tc>
          <w:tcPr>
            <w:tcW w:w="740" w:type="dxa"/>
            <w:vAlign w:val="bottom"/>
          </w:tcPr>
          <w:p>
            <w:pPr xmlns:w="http://schemas.openxmlformats.org/wordprocessingml/2006/main"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4</w:t>
            </w:r>
          </w:p>
        </w:tc>
        <w:tc>
          <w:tcPr>
            <w:tcW w:w="720" w:type="dxa"/>
            <w:vAlign w:val="bottom"/>
          </w:tcPr>
          <w:p>
            <w:pPr xmlns:w="http://schemas.openxmlformats.org/wordprocessingml/2006/main">
              <w:jc w:val="right"/>
              <w:ind w:right="18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</w:rPr>
              <w:t xml:space="preserve">5</w:t>
            </w:r>
          </w:p>
        </w:tc>
        <w:tc>
          <w:tcPr>
            <w:tcW w:w="740" w:type="dxa"/>
            <w:vAlign w:val="bottom"/>
            <w:shd w:val="clear" w:color="auto" w:fill="231F20"/>
          </w:tcPr>
          <w:p>
            <w:pPr xmlns:w="http://schemas.openxmlformats.org/wordprocessingml/2006/main">
              <w:jc w:val="right"/>
              <w:ind w:right="165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FFFFFF"/>
              </w:rPr>
              <w:t xml:space="preserve">6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4"/>
                <w:szCs w:val="24"/>
                <w:b w:val="1"/>
                <w:bCs w:val="1"/>
                <w:color w:val="auto"/>
                <w:w w:val="89"/>
              </w:rPr>
              <w:t xml:space="preserve">7</w:t>
            </w:r>
          </w:p>
        </w:tc>
      </w:tr>
      <w:tr>
        <w:trPr>
          <w:trHeight w:val="22"/>
        </w:trPr>
        <w:tc>
          <w:tcPr>
            <w:tcW w:w="7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shd w:val="clear" w:color="auto" w:fill="231F20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-522605</wp:posOffset>
            </wp:positionV>
            <wp:extent cx="3312160" cy="8636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160" cy="8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-271145</wp:posOffset>
            </wp:positionV>
            <wp:extent cx="3317240" cy="28194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72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8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39"/>
        <w:spacing w:after="0" w:line="2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Questo indicatore si basa su dati storici e potrebbe non essere un'indicazione affidabile del futuro profilo di rischio del Fondo.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di rischio indicata non è garantita e può variare nel tempo.</w:t>
      </w:r>
    </w:p>
    <w:p>
      <w:pPr>
        <w:spacing w:after="0" w:line="16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ind w:left="140" w:hanging="140"/>
        <w:spacing w:after="0"/>
        <w:tabs>
          <w:tab w:leader="none" w:pos="140" w:val="left"/>
        </w:tabs>
        <w:numPr>
          <w:ilvl w:val="0"/>
          <w:numId w:val="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La categoria più bassa non significa "senza rischio".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Il Fondo ha un rating pari a 6 a causa della natura dei suoi investimenti, che includono i rischi elencati di seguito.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fattori possono incidere sul valore degli investimenti del Fondo o esporlo a perdite.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/>
        <w:spacing w:after="0" w:line="241" w:lineRule="auto"/>
        <w:tabs>
          <w:tab w:leader="none" w:pos="243" w:val="left"/>
        </w:tabs>
        <w:numPr>
          <w:ilvl w:val="0"/>
          <w:numId w:val="10"/>
        </w:numPr>
        <w:rPr>
          <w:rFonts w:ascii="Arial" w:cs="Arial" w:eastAsia="Arial" w:hAnsi="Arial"/>
          <w:sz w:val="15"/>
          <w:szCs w:val="15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movimenti giornalieri dei mercati azionari possono incidere sul valore degli strumenti di capitale e dei titoli azionari.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Altri fattori influenti comprendono notizie politiche, economiche, utili aziendali ed eventi aziendali significativi.</w:t>
      </w:r>
    </w:p>
    <w:p>
      <w:pPr xmlns:w="http://schemas.openxmlformats.org/wordprocessingml/2006/main">
        <w:jc w:val="both"/>
        <w:ind w:left="140"/>
        <w:spacing w:after="0" w:line="221" w:lineRule="auto"/>
        <w:tabs>
          <w:tab w:leader="none" w:pos="220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 mercati emergenti sono generalmente più sensibili alle condizioni economiche e politiche rispetto ai mercati sviluppati.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Altri fattori includono un maggiore "rischio di liquidità", restrizioni agli investimenti o ai trasferimenti di attività e mancata/ritardata consegna di titoli o pagamenti al Fondo.</w:t>
      </w:r>
    </w:p>
    <w:p>
      <w:pPr>
        <w:spacing w:after="0" w:line="2" w:lineRule="exact"/>
        <w:rPr>
          <w:rFonts w:ascii="Arial" w:cs="Arial" w:eastAsia="Arial" w:hAnsi="Arial"/>
          <w:sz w:val="16"/>
          <w:szCs w:val="16"/>
          <w:color w:val="231F20"/>
        </w:rPr>
      </w:pPr>
    </w:p>
    <w:p>
      <w:pPr xmlns:w="http://schemas.openxmlformats.org/wordprocessingml/2006/main">
        <w:jc w:val="both"/>
        <w:ind w:left="140"/>
        <w:spacing w:after="0" w:line="226" w:lineRule="auto"/>
        <w:tabs>
          <w:tab w:leader="none" w:pos="225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rischio di investimento si concentra in settori, paesi, valute o società specifici.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il Fondo è più sensibile a qualsiasi evento economico, di mercato, politico o normativo localizzato.</w:t>
      </w:r>
    </w:p>
    <w:p>
      <w:pPr xmlns:w="http://schemas.openxmlformats.org/wordprocessingml/2006/main">
        <w:jc w:val="both"/>
        <w:ind w:left="140"/>
        <w:spacing w:after="0" w:line="226" w:lineRule="auto"/>
        <w:tabs>
          <w:tab w:leader="none" w:pos="260" w:val="left"/>
        </w:tabs>
        <w:numPr>
          <w:ilvl w:val="0"/>
          <w:numId w:val="1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Uso di derivati.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L'uso di derivati potrebbe aumentare o ridurre l'esposizione alle attività sottostanti e comportare maggiori fluttuazioni del valore patrimoniale netto del Fondo.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5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L'indicatore di rischio e rendimento non tiene conto dei seguenti rischi di investimento nel Fondo:</w:t>
      </w:r>
    </w:p>
    <w:p>
      <w:pPr xmlns:w="http://schemas.openxmlformats.org/wordprocessingml/2006/main">
        <w:jc w:val="both"/>
        <w:ind w:left="140" w:hanging="139"/>
        <w:spacing w:after="0" w:line="22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controparte.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L'insolvenza di un ente che fornisce servizi quali la custodia delle attività o che agisce come controparte di strumenti derivati o di altro tipo può esporre il Fondo a perdite finanziarie.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19" w:lineRule="auto"/>
        <w:tabs>
          <w:tab w:leader="none" w:pos="140" w:val="left"/>
        </w:tabs>
        <w:numPr>
          <w:ilvl w:val="0"/>
          <w:numId w:val="11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liquidità.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liquidità inferiore significa che non vi sono acquirenti o venditori sufficienti per consentire al Fondo di vendere o acquistare investimenti prontamente, il che potrebbe comportare costi più elevati per il Fondo al momento dell'acquisto o della vendita degli investimenti, o potrebbe significare che il Fondo non è in grado di acquistare o vendere gli investimenti quando lo desidera.</w:t>
      </w:r>
    </w:p>
    <w:p>
      <w:pPr>
        <w:spacing w:after="0" w:line="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40"/>
        <w:spacing w:after="0" w:line="221" w:lineRule="auto"/>
        <w:tabs>
          <w:tab w:leader="none" w:pos="140" w:val="left"/>
        </w:tabs>
        <w:numPr>
          <w:ilvl w:val="0"/>
          <w:numId w:val="12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Rischio di monitoraggio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Non si prevede che il Fondo segua sempre le prestazioni dell'indice con precisione assoluta.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Tuttavia, il fondo dovrebbe fornire risultati di investimento che, prima delle spese, corrispondono generalmente ai prezzi e ai rendimenti dell'indice.</w:t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ind w:left="140" w:hanging="139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Rischio di campionamento dell'indice.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Poiché il fondo utilizza una tecnica di campionamento dell'indice mediante la quale viene selezionato un campione rappresentativo di titoli per rappresentare l'indice, vi è il rischio che i titoli selezionati per il fondo non possano, nel complesso, avvicinarsi all'indice completo.</w:t>
      </w:r>
    </w:p>
    <w:p>
      <w:pPr xmlns:w="http://schemas.openxmlformats.org/wordprocessingml/2006/main">
        <w:jc w:val="both"/>
        <w:spacing w:after="0" w:line="27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sui rischi si rimanda alla sezione "Fattori di rischio" del prospetto sul sito web https://global.vanguard.com</w:t>
      </w:r>
    </w:p>
    <w:p>
      <w:pPr>
        <w:sectPr>
          <w:pgSz w:w="11900" w:h="16843" w:orient="portrait"/>
          <w:cols w:equalWidth="0" w:num="2">
            <w:col w:w="5200" w:space="240"/>
            <w:col w:w="5200"/>
          </w:cols>
          <w:pgMar w:left="560" w:top="969" w:right="700" w:bottom="0" w:gutter="0" w:footer="0" w:header="0"/>
          <w:type w:val="continuous"/>
        </w:sectPr>
      </w:pPr>
    </w:p>
    <w:bookmarkStart w:id="1" w:name="page2"/>
    <w:bookmarkEnd w:id="1"/>
    <w:p>
      <w:pPr>
        <w:spacing w:after="0" w:line="1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254000</wp:posOffset>
                </wp:positionV>
                <wp:extent cx="684530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pt,20pt" to="567pt,20pt" o:allowincell="f" strokecolor="#231F20" strokeweight="0.4pt">
                <w10:wrap anchorx="page" anchory="page"/>
              </v:line>
            </w:pict>
          </mc:Fallback>
        </mc:AlternateContent>
      </w: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Spese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da lei pagate sono utilizzate per pagare i costi di gestione del Fondo, compresi i costi di marketing e distribuzione.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Questi costi riducono la crescita potenziale dell'investimento.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</w:sectPr>
      </w:pPr>
    </w:p>
    <w:p>
      <w:pPr>
        <w:spacing w:after="0" w:line="7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una tantum assunti prima o dopo l'investimento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-128270</wp:posOffset>
                </wp:positionV>
                <wp:extent cx="3302000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10.0999pt" to="260.9pt,-10.0999pt" o:allowincell="f" strokecolor="#000000" strokeweight="0.4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5"/>
        </w:trPr>
        <w:tc>
          <w:tcPr>
            <w:tcW w:w="29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Diritto di ingresso*</w:t>
            </w:r>
          </w:p>
        </w:tc>
        <w:tc>
          <w:tcPr>
            <w:tcW w:w="2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  <w:tr>
        <w:trPr>
          <w:trHeight w:val="225"/>
        </w:trPr>
        <w:tc>
          <w:tcPr>
            <w:tcW w:w="2980" w:type="dxa"/>
            <w:vAlign w:val="bottom"/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Uscita carica*</w:t>
            </w:r>
          </w:p>
        </w:tc>
        <w:tc>
          <w:tcPr>
            <w:tcW w:w="2240" w:type="dxa"/>
            <w:vAlign w:val="bottom"/>
          </w:tcPr>
          <w:p>
            <w:pPr xmlns:w="http://schemas.openxmlformats.org/wordprocessingml/2006/main">
              <w:ind w:left="18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13335</wp:posOffset>
                </wp:positionV>
                <wp:extent cx="3302000" cy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05pt" to="260.9pt,1.05pt" o:allowincell="f" strokecolor="#000000" strokeweight="0.4pt"/>
            </w:pict>
          </mc:Fallback>
        </mc:AlternateContent>
      </w:r>
    </w:p>
    <w:p>
      <w:pPr>
        <w:spacing w:after="0" w:line="1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59" w:right="40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Questo è il massimo che potrebbe essere tolto dal vostro denaro prima che sia investito / prima che i proventi del vostro investimento sono pagati.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-3810</wp:posOffset>
                </wp:positionV>
                <wp:extent cx="3302000" cy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-0.2999pt" to="260.9pt,-0.2999pt" o:allowincell="f" strokecolor="#000000" strokeweight="0.4pt"/>
            </w:pict>
          </mc:Fallback>
        </mc:AlternateContent>
      </w:r>
    </w:p>
    <w:p>
      <w:pPr xmlns:w="http://schemas.openxmlformats.org/wordprocessingml/2006/main">
        <w:ind w:left="5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Oneri prelevati dal Fondo su un periodo di un anno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23495</wp:posOffset>
                </wp:positionV>
                <wp:extent cx="3302000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20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1.85pt" to="260.9pt,1.85pt" o:allowincell="f" strokecolor="#000000" strokeweight="0.4pt"/>
            </w:pict>
          </mc:Fallback>
        </mc:AlternateContent>
      </w:r>
    </w:p>
    <w:p>
      <w:pPr>
        <w:spacing w:after="0" w:line="33" w:lineRule="exact"/>
        <w:rPr>
          <w:sz w:val="20"/>
          <w:szCs w:val="20"/>
          <w:color w:val="auto"/>
        </w:rPr>
      </w:pPr>
    </w:p>
    <w:tbl>
      <w:tblPr>
        <w:tblLayout w:type="fixed"/>
        <w:tblInd w:w="19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Costi correnti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0,22%</w:t>
            </w:r>
          </w:p>
        </w:tc>
      </w:tr>
      <w:tr>
        <w:trPr>
          <w:trHeight w:val="229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Oneri prelevati dal Fondo a determinate condizioni specifiche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</w:tr>
      <w:tr>
        <w:trPr>
          <w:trHeight w:val="214"/>
        </w:trPr>
        <w:tc>
          <w:tcPr>
            <w:tcW w:w="458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Commissione di esecuzione</w:t>
            </w:r>
          </w:p>
        </w:tc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231F20"/>
              </w:rPr>
              <w:t xml:space="preserve">Nessuno</w:t>
            </w: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jc w:val="both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Gli investitori che non sono partecipanti autorizzati ("AP") possono dover pagare commissioni a un agente di borsa quando si acquista o si vende in borsa(i).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commissioni sono disponibili direttamente dal tuo agente di borsa e non sono addebitate dal Fondo o da versare al Fondo.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Le spese di entrata e di uscita indicate sono cifre massime e in alcuni casi si potrebbe pagare meno.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investitori possono scoprire le spese effettive di ingresso e uscita dal loro distributore e/o consulente.</w:t>
      </w:r>
    </w:p>
    <w:p>
      <w:pPr xmlns:w="http://schemas.openxmlformats.org/wordprocessingml/2006/main">
        <w:jc w:val="both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I punti di accesso che trattano direttamente con il fondo pagheranno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Per le creazioni di contante o i rimborsi può essere pagata al Fondo una commissione per le transazioni in contanti pari al massimo al 2% e tutte le transazioni avranno i relativi costi di transazione.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Gli investitori che non sono AP non pagheranno tali commissioni o costi.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spacing w:after="0" w:line="226" w:lineRule="auto"/>
        <w:tabs>
          <w:tab w:leader="none" w:pos="97" w:val="left"/>
        </w:tabs>
        <w:numPr>
          <w:ilvl w:val="0"/>
          <w:numId w:val="13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Nel caso di un'ampia sottoscrizione o rimborso da parte di un investitore, quest'ultimo potrebbe dover pagare al fondo un onere aggiuntivo (ad esempio un prelievo anti-diluizione) per coprire i costi di transazione sostenuti.</w:t>
      </w:r>
    </w:p>
    <w:p>
      <w:pPr xmlns:w="http://schemas.openxmlformats.org/wordprocessingml/2006/main">
        <w:jc w:val="both"/>
        <w:spacing w:after="0" w:line="22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L'importo degli oneri correnti si basa sulle spese per l'esercizio chiuso al 31 dicembre 2022.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Questa cifra può variare di anno in anno.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esclusi i costi delle operazioni di portafoglio.</w:t>
      </w:r>
    </w:p>
    <w:p>
      <w:pPr xmlns:w="http://schemas.openxmlformats.org/wordprocessingml/2006/main">
        <w:jc w:val="both"/>
        <w:spacing w:after="0" w:line="24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b w:val="1"/>
          <w:bCs w:val="1"/>
          <w:color w:val="231F20"/>
        </w:rPr>
        <w:t xml:space="preserve">Per ulteriori informazioni sulle commissioni, si prega di consultare il prospetto e le sezioni intitolate "Azioni di acquisto", "Azioni di rimborso", "Commissioni e spese" e l'appendice 1 sul nostro sito web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 https://global.vanguard.com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-3429000</wp:posOffset>
                </wp:positionH>
                <wp:positionV relativeFrom="paragraph">
                  <wp:posOffset>85725</wp:posOffset>
                </wp:positionV>
                <wp:extent cx="684530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270pt,6.75pt" to="269pt,6.75pt" o:allowincell="f" strokecolor="#231F20" strokeweight="0.4pt"/>
            </w:pict>
          </mc:Fallback>
        </mc:AlternateConten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940" w:orient="portrait"/>
          <w:cols w:equalWidth="0" w:num="2">
            <w:col w:w="5219" w:space="200"/>
            <w:col w:w="5380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Prestazioni passate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Prestazioni passate: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75565</wp:posOffset>
            </wp:positionH>
            <wp:positionV relativeFrom="paragraph">
              <wp:posOffset>-112395</wp:posOffset>
            </wp:positionV>
            <wp:extent cx="3619500" cy="213360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1.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Non è un'indicazione affidabile dei risultati futuri.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419" w:hanging="199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2. Comprende gli oneri correnti e il reinvestimento dei proventi.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Sono escluse le tasse di ingresso e di uscita.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2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3. è stato calcolato in USD.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Due azioni del Fondo sono state emesse per la prima volta nel 2012.</w:t>
      </w:r>
    </w:p>
    <w:p>
      <w:pPr xmlns:w="http://schemas.openxmlformats.org/wordprocessingml/2006/main">
        <w:ind w:left="6159"/>
        <w:spacing w:after="0" w:line="18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Questa classe di azioni è stata lanciata nel 2019.</w: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780"/>
        </w:trPr>
        <w:tc>
          <w:tcPr>
            <w:tcW w:w="161" w:type="dxa"/>
            <w:vAlign w:val="bottom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231F20"/>
              </w:rPr>
              <w:t xml:space="preserve">Percentuale (%)</w:t>
            </w: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Fondo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4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98425" cy="9842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" cy="9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Indice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93980</wp:posOffset>
                </wp:positionV>
                <wp:extent cx="6845300" cy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53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5080">
                          <a:solidFill>
                            <a:srgbClr val="231F2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9pt,7.4pt" to="539.9pt,7.4pt" o:allowincell="f" strokecolor="#231F20" strokeweight="0.4pt"/>
            </w:pict>
          </mc:Fallback>
        </mc:AlternateContent>
      </w:r>
    </w:p>
    <w:p>
      <w:pPr>
        <w:spacing w:after="0" w:line="20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4"/>
          <w:szCs w:val="24"/>
          <w:color w:val="231F20"/>
        </w:rPr>
        <w:t xml:space="preserve">Informazioni pratiche</w:t>
      </w:r>
    </w:p>
    <w:p>
      <w:pPr>
        <w:spacing w:after="0" w:line="13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4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Depositario: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Brown Brothers Harriman Trustee Services (Ireland) Limited.</w:t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159" w:hanging="139"/>
        <w:spacing w:after="0" w:line="21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Documenti, prezzi delle azioni e ulteriori informazioni: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È possibile ottenere copie del prospetto, dell'ultima relazione annuale e semestrale e dei conti di Vanguard Funds plc ("VF") insieme agli ultimi prezzi pubblicati delle azioni e altre informazioni pratiche, da VF c/o Brown Brothers Harriman Fund Administration Services (Ireland) Limited, 30 Herbert Street, Dublin 2, D02 W329, Ireland o dal nostro sito web https://global.vanguard.com.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Informazioni sulla politica di divulgazione del portafoglio del Fondo e sulla pubblicazione dell'iNAV possono essere ottenute all'indirizzo https://global.vanguard.com/portal/site/portal/ucits-documentation.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 documenti sono disponibili gratuitamente in inglese.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15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Prezzi: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gli ultimi prezzi pubblicati delle azioni del Fondo sono disponibili anche sul sito web del FT www.ft.com o https://global.vanguard.com</w:t>
      </w:r>
    </w:p>
    <w:p>
      <w:pPr>
        <w:spacing w:after="0" w:line="2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28" w:lineRule="auto"/>
        <w:tabs>
          <w:tab w:leader="none" w:pos="159" w:val="left"/>
        </w:tabs>
        <w:numPr>
          <w:ilvl w:val="0"/>
          <w:numId w:val="16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Imposta: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soggetta alla legislazione fiscale irlandese.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A seconda del paese di residenza, ciò può avere un impatto sulla posizione fiscale personale.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Si consiglia di consultare il proprio consulente fiscale professionale.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7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Responsabilità: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VGIL può essere ritenuta responsabile solo sulla base di una dichiarazione contenuta nel presente documento che sia fuorviante, imprecisa o incoerente con le parti pertinenti del prospetto per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39"/>
        <w:spacing w:after="0" w:line="23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2 </w:t>
      </w: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Sotto-fondi: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VF è un fondo d'investimento con una serie di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presente documento descrive un sotto-fondo di VF.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prospetto e le relazioni periodiche sono predisposti per l'intera società.</w:t>
      </w: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8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VF è un fondo ombrello con responsabilità separata tra i sotto-fondi.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Ciò significa che le partecipazioni del Fondo sono mantenute separatamente ai sensi del diritto irlandese dalle partecipazioni di altri sotto-fondi di VF e il vostro investimento nel Fondo non sarà influenzato da eventuali crediti nei confronti di altri sotto-fondi di VF.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 w:line="234" w:lineRule="auto"/>
        <w:tabs>
          <w:tab w:leader="none" w:pos="159" w:val="left"/>
        </w:tabs>
        <w:numPr>
          <w:ilvl w:val="0"/>
          <w:numId w:val="19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b w:val="1"/>
          <w:bCs w:val="1"/>
          <w:color w:val="231F20"/>
        </w:rPr>
        <w:t xml:space="preserve">Azioni: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le azioni ETF del Fondo non possono essere scambiate con azioni ETF di altri sotto-fondi di VF, tuttavia i PA possono, con l'approvazione preventiva, cambiare le azioni ETF del Fondo verso una diversa classe di azioni dello stesso Fondo, dove sono disponibili altre classi di azioni.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0"/>
        </w:numPr>
        <w:rPr>
          <w:rFonts w:ascii="Arial" w:cs="Arial" w:eastAsia="Arial" w:hAnsi="Arial"/>
          <w:sz w:val="16"/>
          <w:szCs w:val="16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Informazioni su altre categorie di azioni offerte da VF sono disponibili nel prospetto informativo o sul sito web https://global.vanguard.com.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59" w:hanging="140"/>
        <w:spacing w:after="0"/>
        <w:tabs>
          <w:tab w:leader="none" w:pos="159" w:val="left"/>
        </w:tabs>
        <w:numPr>
          <w:ilvl w:val="0"/>
          <w:numId w:val="21"/>
        </w:numPr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b w:val="1"/>
          <w:bCs w:val="1"/>
          <w:color w:val="231F20"/>
        </w:rPr>
        <w:t xml:space="preserve">Politica retributiva:</w:t>
      </w:r>
      <w:r>
        <w:rPr xmlns:w="http://schemas.openxmlformats.org/wordprocessingml/2006/main">
          <w:rFonts w:ascii="Arial" w:cs="Arial" w:eastAsia="Arial" w:hAnsi="Arial"/>
          <w:sz w:val="13"/>
          <w:szCs w:val="13"/>
          <w:color w:val="231F20"/>
        </w:rPr>
        <w:t xml:space="preserve"> i dettagli della politica retributiva di VGIL sono disponibili all'indirizzo https://www.ie.vanguard/content/dam/intl/europe/documents/ch/en/ucits-v-remuneration-policy.pdf</w:t>
      </w:r>
    </w:p>
    <w:p>
      <w:pPr>
        <w:spacing w:after="0" w:line="42" w:lineRule="exact"/>
        <w:rPr>
          <w:rFonts w:ascii="Arial" w:cs="Arial" w:eastAsia="Arial" w:hAnsi="Arial"/>
          <w:sz w:val="13"/>
          <w:szCs w:val="13"/>
          <w:color w:val="231F20"/>
        </w:rPr>
      </w:pPr>
    </w:p>
    <w:p>
      <w:pPr xmlns:w="http://schemas.openxmlformats.org/wordprocessingml/2006/main">
        <w:ind w:left="159"/>
        <w:spacing w:after="0" w:line="222" w:lineRule="auto"/>
        <w:rPr>
          <w:rFonts w:ascii="Arial" w:cs="Arial" w:eastAsia="Arial" w:hAnsi="Arial"/>
          <w:sz w:val="13"/>
          <w:szCs w:val="13"/>
          <w:color w:val="231F20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231F20"/>
        </w:rPr>
        <w:t xml:space="preserve">compresa: a) una descrizione delle modalità di calcolo delle retribuzioni e delle prestazioni; e b) l'identità delle persone responsabili dell'attribuzione delle retribuzioni e</w:t>
      </w:r>
    </w:p>
    <w:p>
      <w:pPr xmlns:w="http://schemas.openxmlformats.org/wordprocessingml/2006/main">
        <w:ind w:left="159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vantaggi.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Una copia cartacea di tali informazioni può essere ottenuta gratuitamente dalla VGIL al numero 70 di Sir John Rogerson's Quay, Dublin 2, Irlanda.</w:t>
      </w:r>
    </w:p>
    <w:p>
      <w:pPr>
        <w:sectPr>
          <w:pgSz w:w="11900" w:h="16940" w:orient="portrait"/>
          <w:cols w:equalWidth="0" w:num="1">
            <w:col w:w="10799"/>
          </w:cols>
          <w:pgMar w:left="541" w:top="477" w:right="560" w:bottom="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9"/>
        <w:spacing w:after="0" w:line="25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Il Fondo è autorizzato in Irlanda e regolamentato dalla Central Bank of Ireland (la "Banca centrale").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231F20"/>
        </w:rPr>
        <w:t xml:space="preserve"> Il VGIL è autorizzato in Irlanda e regolamentato dalla Banca centrale.Queste informazioni chiave per gli investitori sono esatte al 17/02/2023.</w:t>
      </w:r>
    </w:p>
    <w:sectPr>
      <w:pgSz w:w="11900" w:h="16940" w:orient="portrait"/>
      <w:cols w:equalWidth="0" w:num="1">
        <w:col w:w="10799"/>
      </w:cols>
      <w:pgMar w:left="541" w:top="477" w:right="560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322FFE3F"/>
    <w:multiLevelType w:val="hybridMultilevel"/>
    <w:lvl w:ilvl="0">
      <w:lvlJc w:val="left"/>
      <w:lvlText w:val="%1"/>
      <w:numFmt w:val="decimal"/>
      <w:start w:val="2"/>
    </w:lvl>
    <w:lvl w:ilvl="1">
      <w:lvlJc w:val="left"/>
      <w:lvlText w:val="%2."/>
      <w:numFmt w:val="decimal"/>
      <w:start w:val="1"/>
    </w:lvl>
  </w:abstractNum>
  <w:abstractNum w:abstractNumId="1">
    <w:nsid w:val="5F67829F"/>
    <w:multiLevelType w:val="hybridMultilevel"/>
    <w:lvl w:ilvl="0">
      <w:lvlJc w:val="left"/>
      <w:lvlText w:val="%1"/>
      <w:numFmt w:val="decimal"/>
      <w:start w:val="2"/>
    </w:lvl>
  </w:abstractNum>
  <w:abstractNum w:abstractNumId="2">
    <w:nsid w:val="40189C04"/>
    <w:multiLevelType w:val="hybridMultilevel"/>
    <w:lvl w:ilvl="0">
      <w:lvlJc w:val="left"/>
      <w:lvlText w:val="%1"/>
      <w:numFmt w:val="decimal"/>
      <w:start w:val="2"/>
    </w:lvl>
  </w:abstractNum>
  <w:abstractNum w:abstractNumId="3">
    <w:nsid w:val="4C2A5B41"/>
    <w:multiLevelType w:val="hybridMultilevel"/>
    <w:lvl w:ilvl="0">
      <w:lvlJc w:val="left"/>
      <w:lvlText w:val="%1"/>
      <w:numFmt w:val="decimal"/>
      <w:start w:val="2"/>
    </w:lvl>
  </w:abstractNum>
  <w:abstractNum w:abstractNumId="4">
    <w:nsid w:val="5EE1C8D6"/>
    <w:multiLevelType w:val="hybridMultilevel"/>
    <w:lvl w:ilvl="0">
      <w:lvlJc w:val="left"/>
      <w:lvlText w:val="%1"/>
      <w:numFmt w:val="decimal"/>
      <w:start w:val="2"/>
    </w:lvl>
  </w:abstractNum>
  <w:abstractNum w:abstractNumId="5">
    <w:nsid w:val="7B33F93B"/>
    <w:multiLevelType w:val="hybridMultilevel"/>
    <w:lvl w:ilvl="0">
      <w:lvlJc w:val="left"/>
      <w:lvlText w:val="%1"/>
      <w:numFmt w:val="decimal"/>
      <w:start w:val="2"/>
    </w:lvl>
  </w:abstractNum>
  <w:abstractNum w:abstractNumId="6">
    <w:nsid w:val="5BD14584"/>
    <w:multiLevelType w:val="hybridMultilevel"/>
    <w:lvl w:ilvl="0">
      <w:lvlJc w:val="left"/>
      <w:lvlText w:val="%1"/>
      <w:numFmt w:val="decimal"/>
      <w:start w:val="2"/>
    </w:lvl>
  </w:abstractNum>
  <w:abstractNum w:abstractNumId="7">
    <w:nsid w:val="3DF4054A"/>
    <w:multiLevelType w:val="hybridMultilevel"/>
    <w:lvl w:ilvl="0">
      <w:lvlJc w:val="left"/>
      <w:lvlText w:val="%1"/>
      <w:numFmt w:val="decimal"/>
      <w:start w:val="2"/>
    </w:lvl>
  </w:abstractNum>
  <w:abstractNum w:abstractNumId="8">
    <w:nsid w:val="7DA19BD9"/>
    <w:multiLevelType w:val="hybridMultilevel"/>
    <w:lvl w:ilvl="0">
      <w:lvlJc w:val="left"/>
      <w:lvlText w:val="%1"/>
      <w:numFmt w:val="decimal"/>
      <w:start w:val="2"/>
    </w:lvl>
  </w:abstractNum>
  <w:abstractNum w:abstractNumId="9">
    <w:nsid w:val="1B8D536E"/>
    <w:multiLevelType w:val="hybridMultilevel"/>
    <w:lvl w:ilvl="0">
      <w:lvlJc w:val="left"/>
      <w:lvlText w:val="-"/>
      <w:numFmt w:val="bullet"/>
      <w:start w:val="1"/>
    </w:lvl>
  </w:abstractNum>
  <w:abstractNum w:abstractNumId="10">
    <w:nsid w:val="3843905D"/>
    <w:multiLevelType w:val="hybridMultilevel"/>
    <w:lvl w:ilvl="0">
      <w:lvlJc w:val="left"/>
      <w:lvlText w:val="%1"/>
      <w:numFmt w:val="decimal"/>
      <w:start w:val="2"/>
    </w:lvl>
  </w:abstractNum>
  <w:abstractNum w:abstractNumId="11">
    <w:nsid w:val="F811C8B"/>
    <w:multiLevelType w:val="hybridMultilevel"/>
    <w:lvl w:ilvl="0">
      <w:lvlJc w:val="left"/>
      <w:lvlText w:val="%1"/>
      <w:numFmt w:val="decimal"/>
      <w:start w:val="2"/>
    </w:lvl>
  </w:abstractNum>
  <w:abstractNum w:abstractNumId="12">
    <w:nsid w:val="6F316A76"/>
    <w:multiLevelType w:val="hybridMultilevel"/>
    <w:lvl w:ilvl="0">
      <w:lvlJc w:val="left"/>
      <w:lvlText w:val="*"/>
      <w:numFmt w:val="bullet"/>
      <w:start w:val="1"/>
    </w:lvl>
  </w:abstractNum>
  <w:abstractNum w:abstractNumId="13">
    <w:nsid w:val="456AD4F7"/>
    <w:multiLevelType w:val="hybridMultilevel"/>
    <w:lvl w:ilvl="0">
      <w:lvlJc w:val="left"/>
      <w:lvlText w:val="%1"/>
      <w:numFmt w:val="decimal"/>
      <w:start w:val="2"/>
    </w:lvl>
  </w:abstractNum>
  <w:abstractNum w:abstractNumId="14">
    <w:nsid w:val="14243EFD"/>
    <w:multiLevelType w:val="hybridMultilevel"/>
    <w:lvl w:ilvl="0">
      <w:lvlJc w:val="left"/>
      <w:lvlText w:val="%1"/>
      <w:numFmt w:val="decimal"/>
      <w:start w:val="2"/>
    </w:lvl>
  </w:abstractNum>
  <w:abstractNum w:abstractNumId="15">
    <w:nsid w:val="1DD120E"/>
    <w:multiLevelType w:val="hybridMultilevel"/>
    <w:lvl w:ilvl="0">
      <w:lvlJc w:val="left"/>
      <w:lvlText w:val="%1"/>
      <w:numFmt w:val="decimal"/>
      <w:start w:val="2"/>
    </w:lvl>
  </w:abstractNum>
  <w:abstractNum w:abstractNumId="16">
    <w:nsid w:val="72B23DBD"/>
    <w:multiLevelType w:val="hybridMultilevel"/>
    <w:lvl w:ilvl="0">
      <w:lvlJc w:val="left"/>
      <w:lvlText w:val="%1"/>
      <w:numFmt w:val="decimal"/>
      <w:start w:val="2"/>
    </w:lvl>
  </w:abstractNum>
  <w:abstractNum w:abstractNumId="17">
    <w:nsid w:val="784C5758"/>
    <w:multiLevelType w:val="hybridMultilevel"/>
    <w:lvl w:ilvl="0">
      <w:lvlJc w:val="left"/>
      <w:lvlText w:val="%1"/>
      <w:numFmt w:val="decimal"/>
      <w:start w:val="2"/>
    </w:lvl>
  </w:abstractNum>
  <w:abstractNum w:abstractNumId="18">
    <w:nsid w:val="733CA5C7"/>
    <w:multiLevelType w:val="hybridMultilevel"/>
    <w:lvl w:ilvl="0">
      <w:lvlJc w:val="left"/>
      <w:lvlText w:val="%1"/>
      <w:numFmt w:val="decimal"/>
      <w:start w:val="2"/>
    </w:lvl>
  </w:abstractNum>
  <w:abstractNum w:abstractNumId="19">
    <w:nsid w:val="34B8F2E4"/>
    <w:multiLevelType w:val="hybridMultilevel"/>
    <w:lvl w:ilvl="0">
      <w:lvlJc w:val="left"/>
      <w:lvlText w:val="%1"/>
      <w:numFmt w:val="decimal"/>
      <w:start w:val="2"/>
    </w:lvl>
  </w:abstractNum>
  <w:abstractNum w:abstractNumId="20">
    <w:nsid w:val="59CEA1D1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jpeg"/><Relationship Id="rId16" Type="http://schemas.openxmlformats.org/officeDocument/2006/relationships/image" Target="media/image5.png"/><Relationship Id="rId17" Type="http://schemas.openxmlformats.org/officeDocument/2006/relationships/image" Target="media/image6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2023-04-28T15:48:30Z</dcterms:created>
  <dcterms:modified xsi:type="dcterms:W3CDTF">2023-04-28T15:48:30Z</dcterms:modified>
</cp:coreProperties>
</file>