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1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4"/>
              </w:rPr>
              <w:t xml:space="preserve">ΟΣΕΚΑ Αυτοματισμού &amp; Ρομποτικής Μετοχών ETF</w:t>
            </w:r>
          </w:p>
        </w:tc>
        <w:tc>
          <w:tcPr>
            <w:tcW w:w="2300" w:type="dxa"/>
            <w:vAlign w:val="bottom"/>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1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IV plc</w:t>
            </w:r>
          </w:p>
        </w:tc>
        <w:tc>
          <w:tcPr>
            <w:tcW w:w="2300" w:type="dxa"/>
            <w:vAlign w:val="bottom"/>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IE00BYZK4552</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100" w:type="dxa"/>
            <w:vAlign w:val="bottom"/>
            <w:vMerge w:val="continue"/>
          </w:tcPr>
          <w:p>
            <w:pPr>
              <w:spacing w:after="0"/>
              <w:rPr>
                <w:sz w:val="9"/>
                <w:szCs w:val="9"/>
                <w:color w:val="auto"/>
              </w:rPr>
            </w:pPr>
          </w:p>
        </w:tc>
        <w:tc>
          <w:tcPr>
            <w:tcW w:w="230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STOXX Global Automation &amp; Robotics Index (δείκτης αναφοράς) του Ταμείου.</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αποσκοπεί στην επένδυση σε μετοχικούς τίτλους (π.χ. μετοχές) που, στο μέτρο του δυνατού και του εφικτού, αποτελούν τον Δείκτη.</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αντικατοπτρίζει την απόδοση ενός υποσυνόλου τίτλων μετοχικού κεφαλαίου επιλέξιμων χωρών παγκοσμίως στο πλαίσιο του παγκόσμιου δείκτη αγοράς STOXX («μητρικός δείκτης»), οι οποίοι αποκομίζουν σημαντικά έσοδα από τον κλάδο της αυτοματοποίησης και της ρομποτικής.</w:t>
      </w:r>
      <w:r>
        <w:rPr xmlns:w="http://schemas.openxmlformats.org/wordprocessingml/2006/main">
          <w:rFonts w:ascii="Arial" w:cs="Arial" w:eastAsia="Arial" w:hAnsi="Arial"/>
          <w:sz w:val="16"/>
          <w:szCs w:val="16"/>
          <w:color w:val="auto"/>
        </w:rPr>
        <w:t xml:space="preserve"> Οι εταιρείες που περιλαμβάνονται στον Δείκτη πρέπει να παράγουν τουλάχιστον το 50% (45% για τις υπάρχουσες εταιρείες στον Δείκτη) των ετήσιων εσόδων τους από τους τομείς που σχετίζονται με το θέμα του αυτοματισμού και της ρομποτικής.</w:t>
      </w:r>
      <w:r>
        <w:rPr xmlns:w="http://schemas.openxmlformats.org/wordprocessingml/2006/main">
          <w:rFonts w:ascii="Arial" w:cs="Arial" w:eastAsia="Arial" w:hAnsi="Arial"/>
          <w:sz w:val="16"/>
          <w:szCs w:val="16"/>
          <w:color w:val="auto"/>
        </w:rPr>
        <w:t xml:space="preserve"> Επιπλέον, ο δείκτης αποσκοπεί να έχει ελάχιστο αριθμό 80 στοιχείων σε κάθε αναπροσαρμογή του δείκτη, ωστόσο, αν η εφαρμογή του φίλτρου εσόδων έχει ως αποτέλεσμα να υπάρχουν λιγότερα από 80 στοιχεία στον δείκτη, μειώνεται σταδιακά σύμφωνα με τη μεθοδολογία του παρόχου του δείκτη, έως ότου ο αριθμός των στοιχείων είναι ίσος ή μεγαλύτερος από 80. Οι εταιρείες του δείκτη πρέπει επίσης να πληρούν τα κριτήρια του παρόχου του δείκτη για την κεφαλαιοποίηση της αγοράς και τον όγκο συναλλαγών και να έχουν την κατοικία τους σε επιλέξιμη χώρα, η οποία επίσης καθορίζεται από τον πάροχο του δείκτη.</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εξαιρεί εταιρείες από τον Μητρικό Δείκτη οι οποίες προσδιορίζονται από τον πάροχο του δείκτη ως εμπλεκόμενες σε ορισμένους επιχειρηματικούς τομείς/δραστηριότητες, όπως περιγράφεται στην περιγραφή του Δείκτη του Ταμείου στο Ενημερωτικό Δελτίο του Ταμείου.</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επένδυση του Ταμείου σε τίτλους που αποτελούν τον δείκτη θα συμμορφώνεται, κατά τον χρόνο αγοράς, με τις πιστωτικές απαιτήσεις ή τις απαιτήσεις ΠΚΔ του δείκτη.</w:t>
      </w:r>
      <w:r>
        <w:rPr xmlns:w="http://schemas.openxmlformats.org/wordprocessingml/2006/main">
          <w:rFonts w:ascii="Arial" w:cs="Arial" w:eastAsia="Arial" w:hAnsi="Arial"/>
          <w:sz w:val="16"/>
          <w:szCs w:val="16"/>
          <w:color w:val="auto"/>
        </w:rPr>
        <w:t xml:space="preserve"> Όταν οι τίτλοι δεν πληρούν πλέον τις εν λόγω απαιτήσεις, το Ταμείο μπορεί να συνεχίσει να τους κατέχει έως ότου παύσουν να αποτελούν μέρος του δείκτη και είναι πρακτικά δυνατό να τους πωλήσει.</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θα λαμβάνει υπόψη αυτά τα κριτήρια ΠΚΔ μόνο κατά την επιλογή των τίτλων που θα κατέχει απευθείας το Ταμείο.</w:t>
      </w:r>
      <w:r>
        <w:rPr xmlns:w="http://schemas.openxmlformats.org/wordprocessingml/2006/main">
          <w:rFonts w:ascii="Arial" w:cs="Arial" w:eastAsia="Arial" w:hAnsi="Arial"/>
          <w:sz w:val="16"/>
          <w:szCs w:val="16"/>
          <w:color w:val="auto"/>
        </w:rPr>
        <w:t xml:space="preserve"> Το Ταμείο μπορεί να εξασφαλίσει έμμεση έκθεση (για παράδειγμα, μέσω παράγωγων χρηματοπιστωτικών μέσων («ΑΞΕ») (δηλαδή επενδύσεις οι τιμές των οποίων βασίζονται σε ένα ή περισσότερα υποκείμενα περιουσιακά στοιχεία) και μερίδια σε οργανισμούς συλλογικών επενδύσεων) σε τίτλους που θεωρείται ότι δεν πληρούν τα εν λόγω κριτήρια ΠΚΔ.</w:t>
      </w:r>
      <w:r>
        <w:rPr xmlns:w="http://schemas.openxmlformats.org/wordprocessingml/2006/main">
          <w:rFonts w:ascii="Arial" w:cs="Arial" w:eastAsia="Arial" w:hAnsi="Arial"/>
          <w:sz w:val="16"/>
          <w:szCs w:val="16"/>
          <w:color w:val="auto"/>
        </w:rPr>
        <w:t xml:space="preserve"> Ο Δείκτης μπορεί να περιλαμβάνει μικρά, μεσαία και/ή μεγάλα συστατικά κεφαλαιοποίησης του Μητρικού Δείκτη τόσο από τις ανεπτυγμένες όσο και από τις αναδυόμενες χώρες της αγοράς παγκοσμίως.</w:t>
      </w:r>
      <w:r>
        <w:rPr xmlns:w="http://schemas.openxmlformats.org/wordprocessingml/2006/main">
          <w:rFonts w:ascii="Arial" w:cs="Arial" w:eastAsia="Arial" w:hAnsi="Arial"/>
          <w:sz w:val="16"/>
          <w:szCs w:val="16"/>
          <w:color w:val="auto"/>
        </w:rPr>
        <w:t xml:space="preserve"> Κάθε συστατικό στοιχείο του δείκτη ρυθμίζεται εξίσου σταθμισμένα σε κάθε αναπροσαρμογή του δείκτη.</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χρησιμοποιεί τεχνικές βελτιστοποίησης για να επιτύχει παρόμοια απόδοση με το δείκτη του.</w:t>
      </w:r>
      <w:r>
        <w:rPr xmlns:w="http://schemas.openxmlformats.org/wordprocessingml/2006/main">
          <w:rFonts w:ascii="Arial" w:cs="Arial" w:eastAsia="Arial" w:hAnsi="Arial"/>
          <w:sz w:val="16"/>
          <w:szCs w:val="16"/>
          <w:color w:val="auto"/>
        </w:rPr>
        <w:t xml:space="preserve"> Οι τεχνικές αυτές μπορούν να περιλαμβάνουν τη στρατηγική επιλογή ορισμένων τίτλων που αποτελούν τον Δείκτη ή άλλων τίτλων που παρέχουν παρόμοιες επιδόσεις με ορισμένες συστατικές κινητές αξίες.</w:t>
      </w:r>
      <w:r>
        <w:rPr xmlns:w="http://schemas.openxmlformats.org/wordprocessingml/2006/main">
          <w:rFonts w:ascii="Arial" w:cs="Arial" w:eastAsia="Arial" w:hAnsi="Arial"/>
          <w:sz w:val="16"/>
          <w:szCs w:val="16"/>
          <w:color w:val="auto"/>
        </w:rPr>
        <w:t xml:space="preserve"> Οι πράξεις αυτές μπορούν να περιλαμβάνουν και τη χρήση ΑΞΕ, που μπορούν να χρησιμοποιηθούν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συσσωρεύονται μετοχές (δηλαδή το εισόδημα θα περιλαμβάνεται στην αξία τους).</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είναι εκφρασμένες σε Δολάριο ΗΠΑ, το βασικό νόμισμα του Ταμείου.</w:t>
      </w:r>
    </w:p>
    <w:p>
      <w:pPr>
        <w:spacing w:after="0" w:line="4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6"/>
          <w:szCs w:val="16"/>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επτά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-390525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Οι μετοχές σε μικρότερες εταιρείες συνήθως εμπορεύονται λιγότερο όγκο και παρουσιάζουν μεγαλύτερες διακυμάνσεις τιμών από ότι οι μεγαλύτερες εταιρείες.</w:t>
      </w:r>
    </w:p>
    <w:p>
      <w:pPr>
        <w:spacing w:after="0" w:line="27" w:lineRule="exact"/>
        <w:rPr>
          <w:rFonts w:ascii="Arial" w:cs="Arial" w:eastAsia="Arial" w:hAnsi="Arial"/>
          <w:sz w:val="35"/>
          <w:szCs w:val="35"/>
          <w:color w:val="auto"/>
          <w:vertAlign w:val="subscript"/>
        </w:rPr>
      </w:pPr>
    </w:p>
    <w:p>
      <w:pPr xmlns:w="http://schemas.openxmlformats.org/wordprocessingml/2006/main">
        <w:jc w:val="both"/>
        <w:ind w:left="300" w:right="220" w:hanging="153"/>
        <w:spacing w:after="0" w:line="193" w:lineRule="auto"/>
        <w:tabs>
          <w:tab w:leader="none" w:pos="300" w:val="left"/>
        </w:tabs>
        <w:numPr>
          <w:ilvl w:val="0"/>
          <w:numId w:val="1"/>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Οι επενδύσεις σε κινητές αξίες τεχνολογίας υπόκεινται σε απουσία ή απώλεια προστασίας της πνευματικής ιδιοκτησίας, ραγδαίες αλλαγές στην τεχνολογία, κυβερνητικές ρυθμίσεις και ανταγωνισμό.</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6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4"/>
          <w:szCs w:val="14"/>
          <w:color w:val="auto"/>
        </w:rPr>
        <w:t xml:space="preserve"> Άλλοι παράγοντες είναι ο μεγαλύτερος «κίνδυνος ρευστότητας», οι περιορισμοί στις επενδύσεις ή τη μεταβίβαση περιουσιακών στοιχείων, η αποτυχημένη/καθυστερημένη παράδοση τίτλων ή πληρωμών στο Ταμείο και οι κίνδυνοι που σχετίζονται με τη βιωσιμότητα.</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4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20" w:hanging="159"/>
        <w:spacing w:after="0" w:line="193"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4"/>
          <w:szCs w:val="14"/>
          <w:color w:val="auto"/>
        </w:rPr>
        <w:t xml:space="preserve"> Άλλοι σημαντικοί παράγοντες είναι οι πολιτικοί και οικονομικοί</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νέα, κέρδη της εταιρείας και σημαντικά εταιρικά γεγονότα.</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81"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Κίνδυνος ρευστότητας:</w:t>
      </w:r>
      <w:r>
        <w:rPr xmlns:w="http://schemas.openxmlformats.org/wordprocessingml/2006/main">
          <w:rFonts w:ascii="Arial" w:cs="Arial" w:eastAsia="Arial" w:hAnsi="Arial"/>
          <w:sz w:val="15"/>
          <w:szCs w:val="15"/>
          <w:color w:val="auto"/>
        </w:rPr>
        <w:t xml:space="preserve"> Η χαμηλότερη ρευστότητα σημαίνει ότι δεν υπάρχουν αρκετοί αγοραστές ή πωλητές που να επιτρέπουν στο Ταμείο να πωλεί ή να αγοράζει επενδύσεις άμεσα.</w:t>
      </w:r>
    </w:p>
    <w:p>
      <w:pPr>
        <w:spacing w:after="0" w:line="413"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2016.</w:t>
      </w:r>
      <w:r>
        <w:rPr xmlns:w="http://schemas.openxmlformats.org/wordprocessingml/2006/main">
          <w:rFonts w:ascii="Arial" w:cs="Arial" w:eastAsia="Arial" w:hAnsi="Arial"/>
          <w:sz w:val="15"/>
          <w:szCs w:val="15"/>
          <w:color w:val="auto"/>
        </w:rPr>
        <w:t xml:space="preserve"> Η Share Class ξεκίνησε το 2016.</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100"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αναφοράς:STOXX Global Automation &amp; Robotics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-34,2</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38,5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-34,3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38,9</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IV plc μπορεί να θεωρηθεί υπεύθυνη μόνο βάσει παραπλανητικής, ανακριβούς ή ασυνεπούς δηλώσεως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δημοσιεύεται στους σχετικούς δικτυακούς τόπους χρηματιστηρίων.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μεταβίβαση μετοχών μεταξύ του Ταμείου και άλλων υποκεφαλαίων στο πλαίσιο της iShares IV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29 Ιανουαρίου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98D9DB5"/>
    <w:multiLevelType w:val="hybridMultilevel"/>
    <w:lvl w:ilvl="0">
      <w:lvlJc w:val="left"/>
      <w:lvlText w:val="-"/>
      <w:numFmt w:val="bullet"/>
      <w:start w:val="1"/>
    </w:lvl>
  </w:abstractNum>
  <w:abstractNum w:abstractNumId="1">
    <w:nsid w:val="181F99F5"/>
    <w:multiLevelType w:val="hybridMultilevel"/>
    <w:lvl w:ilvl="0">
      <w:lvlJc w:val="left"/>
      <w:lvlText w:val="-"/>
      <w:numFmt w:val="bullet"/>
      <w:start w:val="1"/>
    </w:lvl>
  </w:abstractNum>
  <w:abstractNum w:abstractNumId="2">
    <w:nsid w:val="1AE809DD"/>
    <w:multiLevelType w:val="hybridMultilevel"/>
    <w:lvl w:ilvl="0">
      <w:lvlJc w:val="left"/>
      <w:lvlText w:val="-"/>
      <w:numFmt w:val="bullet"/>
      <w:start w:val="1"/>
    </w:lvl>
  </w:abstractNum>
  <w:abstractNum w:abstractNumId="3">
    <w:nsid w:val="23BCA47F"/>
    <w:multiLevelType w:val="hybridMultilevel"/>
    <w:lvl w:ilvl="0">
      <w:lvlJc w:val="left"/>
      <w:lvlText w:val="**"/>
      <w:numFmt w:val="bullet"/>
      <w:start w:val="1"/>
    </w:lvl>
  </w:abstractNum>
  <w:abstractNum w:abstractNumId="4">
    <w:nsid w:val="67039F17"/>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2024-05-20T14:49:43Z</dcterms:created>
  <dcterms:modified xsi:type="dcterms:W3CDTF">2024-05-20T14:49:43Z</dcterms:modified>
</cp:coreProperties>
</file>